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9884" w14:textId="77777777" w:rsidR="00173006" w:rsidRPr="007315E3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7315E3">
        <w:rPr>
          <w:sz w:val="32"/>
          <w:szCs w:val="32"/>
        </w:rPr>
        <w:t xml:space="preserve">Контрольно-счетная палата </w:t>
      </w:r>
    </w:p>
    <w:p w14:paraId="348BBA40" w14:textId="77777777" w:rsidR="00173006" w:rsidRPr="007315E3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7315E3">
        <w:rPr>
          <w:sz w:val="32"/>
          <w:szCs w:val="32"/>
        </w:rPr>
        <w:t>муниципального образования Сосновоборский городской округ</w:t>
      </w:r>
    </w:p>
    <w:p w14:paraId="30F915CB" w14:textId="6F74E8DD" w:rsidR="00D85889" w:rsidRPr="007315E3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7315E3">
        <w:rPr>
          <w:sz w:val="32"/>
          <w:szCs w:val="32"/>
        </w:rPr>
        <w:t>Ленинградской области</w:t>
      </w:r>
    </w:p>
    <w:p w14:paraId="5EC5E695" w14:textId="77777777" w:rsidR="00345E41" w:rsidRPr="007315E3" w:rsidRDefault="00345E41" w:rsidP="008A5B8B">
      <w:pPr>
        <w:spacing w:line="240" w:lineRule="auto"/>
        <w:ind w:left="5" w:hanging="5"/>
        <w:rPr>
          <w:sz w:val="32"/>
          <w:szCs w:val="32"/>
        </w:rPr>
      </w:pPr>
    </w:p>
    <w:p w14:paraId="692BDA29" w14:textId="77777777" w:rsidR="00345E41" w:rsidRPr="007315E3" w:rsidRDefault="00345E41" w:rsidP="008A5B8B">
      <w:pPr>
        <w:spacing w:line="240" w:lineRule="auto"/>
        <w:ind w:left="5" w:hanging="5"/>
        <w:rPr>
          <w:sz w:val="32"/>
          <w:szCs w:val="32"/>
        </w:rPr>
      </w:pPr>
    </w:p>
    <w:p w14:paraId="525D56A5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61D1EC87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4D6BE929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FDC95DF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0C6E6CE6" w14:textId="77777777" w:rsidR="00345E41" w:rsidRDefault="00345E41" w:rsidP="008A5B8B">
      <w:pPr>
        <w:spacing w:line="240" w:lineRule="auto"/>
        <w:ind w:left="5" w:hanging="5"/>
        <w:rPr>
          <w:szCs w:val="28"/>
        </w:rPr>
      </w:pPr>
    </w:p>
    <w:p w14:paraId="035461B7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573558C2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49AFBEC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8BF575D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1F876154" w14:textId="77777777" w:rsidR="00D85889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73006">
        <w:rPr>
          <w:b/>
          <w:sz w:val="32"/>
          <w:szCs w:val="32"/>
        </w:rPr>
        <w:t xml:space="preserve">Стандарт </w:t>
      </w:r>
      <w:r w:rsidR="00D85889" w:rsidRPr="00173006">
        <w:rPr>
          <w:b/>
          <w:sz w:val="32"/>
          <w:szCs w:val="32"/>
        </w:rPr>
        <w:t xml:space="preserve">внешнего муниципального </w:t>
      </w:r>
    </w:p>
    <w:p w14:paraId="27ADA57D" w14:textId="075B9831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73006">
        <w:rPr>
          <w:b/>
          <w:sz w:val="32"/>
          <w:szCs w:val="32"/>
        </w:rPr>
        <w:t>финансового контроля</w:t>
      </w:r>
      <w:r w:rsidR="00D85889" w:rsidRPr="00173006">
        <w:rPr>
          <w:b/>
          <w:sz w:val="32"/>
          <w:szCs w:val="32"/>
        </w:rPr>
        <w:t xml:space="preserve"> </w:t>
      </w:r>
    </w:p>
    <w:p w14:paraId="4BB27B4F" w14:textId="77777777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</w:p>
    <w:p w14:paraId="17B4D117" w14:textId="0FBD04DA" w:rsidR="00345E41" w:rsidRPr="00EA2445" w:rsidRDefault="003220CD" w:rsidP="003220CD">
      <w:pPr>
        <w:spacing w:line="240" w:lineRule="auto"/>
        <w:ind w:firstLine="0"/>
        <w:jc w:val="center"/>
        <w:rPr>
          <w:szCs w:val="28"/>
        </w:rPr>
      </w:pPr>
      <w:r w:rsidRPr="003220CD">
        <w:rPr>
          <w:b/>
          <w:sz w:val="32"/>
          <w:szCs w:val="32"/>
        </w:rPr>
        <w:t xml:space="preserve">«Оценка реализуемости, рисков и результатов достижения целей социально-экономического развития </w:t>
      </w:r>
      <w:r w:rsidR="00BE7F33">
        <w:rPr>
          <w:b/>
          <w:sz w:val="32"/>
          <w:szCs w:val="32"/>
        </w:rPr>
        <w:t>Сосновоборского городского округа</w:t>
      </w:r>
      <w:r w:rsidRPr="003220CD">
        <w:rPr>
          <w:b/>
          <w:sz w:val="32"/>
          <w:szCs w:val="32"/>
        </w:rPr>
        <w:t xml:space="preserve">, предусмотренных документами стратегического планирования </w:t>
      </w:r>
      <w:r w:rsidR="00BE7F33">
        <w:rPr>
          <w:b/>
          <w:sz w:val="32"/>
          <w:szCs w:val="32"/>
        </w:rPr>
        <w:t>Сосновоборского городского округа</w:t>
      </w:r>
      <w:r w:rsidR="0097769F">
        <w:rPr>
          <w:b/>
          <w:sz w:val="32"/>
          <w:szCs w:val="32"/>
        </w:rPr>
        <w:t xml:space="preserve"> в пределах компетенции контрольно-счетного органа муниципального образования</w:t>
      </w:r>
      <w:r w:rsidRPr="003220CD">
        <w:rPr>
          <w:b/>
          <w:sz w:val="32"/>
          <w:szCs w:val="32"/>
        </w:rPr>
        <w:t>»</w:t>
      </w:r>
    </w:p>
    <w:p w14:paraId="0EC61D40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15CD513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416715EA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2AC08DF2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381251E2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31DC2431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5654484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79025830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9FE1A47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544304E9" w14:textId="77777777" w:rsidR="00345E41" w:rsidRPr="00EA2445" w:rsidRDefault="00345E41" w:rsidP="008A5B8B">
      <w:pPr>
        <w:spacing w:line="240" w:lineRule="auto"/>
        <w:ind w:firstLine="0"/>
        <w:rPr>
          <w:szCs w:val="28"/>
        </w:rPr>
      </w:pPr>
    </w:p>
    <w:p w14:paraId="62E8D5F4" w14:textId="77777777" w:rsidR="0015244B" w:rsidRDefault="0015244B" w:rsidP="008A5B8B">
      <w:pPr>
        <w:spacing w:line="240" w:lineRule="auto"/>
        <w:ind w:firstLine="0"/>
        <w:jc w:val="right"/>
        <w:rPr>
          <w:szCs w:val="28"/>
        </w:rPr>
      </w:pPr>
      <w:bookmarkStart w:id="0" w:name="_Hlk124419565"/>
    </w:p>
    <w:p w14:paraId="2B132C31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3E08A13A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52C7E1BA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7278F6AD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780942B1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5ADF63FF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34341D3C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46B17D26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70F6C1A9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01B13C8B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2A2046CC" w14:textId="194E10D7" w:rsidR="00345E41" w:rsidRPr="00FA7F7E" w:rsidRDefault="00345E41" w:rsidP="008A5B8B">
      <w:pPr>
        <w:spacing w:line="240" w:lineRule="auto"/>
        <w:ind w:firstLine="0"/>
        <w:jc w:val="right"/>
        <w:rPr>
          <w:szCs w:val="28"/>
        </w:rPr>
      </w:pPr>
      <w:r w:rsidRPr="00FA7F7E">
        <w:rPr>
          <w:szCs w:val="28"/>
        </w:rPr>
        <w:t>Утвержден</w:t>
      </w:r>
    </w:p>
    <w:p w14:paraId="3348C605" w14:textId="77777777" w:rsidR="00345E41" w:rsidRPr="00FA7F7E" w:rsidRDefault="00D85889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приказом</w:t>
      </w:r>
    </w:p>
    <w:p w14:paraId="09E1735A" w14:textId="77777777" w:rsidR="00345E41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Контрольно-счетной палаты</w:t>
      </w:r>
    </w:p>
    <w:p w14:paraId="29130CC1" w14:textId="77777777" w:rsidR="00BC0731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Муниципального образования</w:t>
      </w:r>
    </w:p>
    <w:p w14:paraId="5ADCFF69" w14:textId="77777777" w:rsidR="00BC0731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 xml:space="preserve"> Сосновоборский городской округ</w:t>
      </w:r>
    </w:p>
    <w:p w14:paraId="6B3F3AEE" w14:textId="77777777" w:rsidR="00BC0731" w:rsidRPr="00FA7F7E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Ленинградской области</w:t>
      </w:r>
    </w:p>
    <w:p w14:paraId="73C4A9DA" w14:textId="0660A9B3" w:rsidR="00345E41" w:rsidRDefault="00345E41" w:rsidP="008A5B8B">
      <w:pPr>
        <w:spacing w:line="240" w:lineRule="auto"/>
        <w:ind w:firstLine="0"/>
        <w:jc w:val="right"/>
        <w:rPr>
          <w:szCs w:val="28"/>
        </w:rPr>
      </w:pPr>
      <w:r w:rsidRPr="007315E3">
        <w:rPr>
          <w:szCs w:val="28"/>
        </w:rPr>
        <w:t xml:space="preserve">от </w:t>
      </w:r>
      <w:r w:rsidR="001117AE" w:rsidRPr="007315E3">
        <w:rPr>
          <w:szCs w:val="28"/>
        </w:rPr>
        <w:t>2</w:t>
      </w:r>
      <w:r w:rsidR="007315E3" w:rsidRPr="007315E3">
        <w:rPr>
          <w:szCs w:val="28"/>
        </w:rPr>
        <w:t>0</w:t>
      </w:r>
      <w:r w:rsidRPr="007315E3">
        <w:rPr>
          <w:szCs w:val="28"/>
        </w:rPr>
        <w:t>.</w:t>
      </w:r>
      <w:r w:rsidR="007315E3" w:rsidRPr="007315E3">
        <w:rPr>
          <w:szCs w:val="28"/>
        </w:rPr>
        <w:t>08</w:t>
      </w:r>
      <w:r w:rsidRPr="007315E3">
        <w:rPr>
          <w:szCs w:val="28"/>
        </w:rPr>
        <w:t>.20</w:t>
      </w:r>
      <w:r w:rsidR="001117AE" w:rsidRPr="007315E3">
        <w:rPr>
          <w:szCs w:val="28"/>
        </w:rPr>
        <w:t>2</w:t>
      </w:r>
      <w:r w:rsidR="003E4570" w:rsidRPr="007315E3">
        <w:rPr>
          <w:szCs w:val="28"/>
        </w:rPr>
        <w:t>6</w:t>
      </w:r>
      <w:r w:rsidR="007315E3" w:rsidRPr="007315E3">
        <w:rPr>
          <w:szCs w:val="28"/>
        </w:rPr>
        <w:t xml:space="preserve"> </w:t>
      </w:r>
      <w:r w:rsidRPr="007315E3">
        <w:rPr>
          <w:szCs w:val="28"/>
        </w:rPr>
        <w:t>№</w:t>
      </w:r>
      <w:r w:rsidR="00BC0731" w:rsidRPr="007315E3">
        <w:rPr>
          <w:szCs w:val="28"/>
        </w:rPr>
        <w:t xml:space="preserve"> </w:t>
      </w:r>
      <w:r w:rsidR="007315E3" w:rsidRPr="007315E3">
        <w:rPr>
          <w:szCs w:val="28"/>
        </w:rPr>
        <w:t>15</w:t>
      </w:r>
      <w:r w:rsidR="00BC0731" w:rsidRPr="007315E3">
        <w:rPr>
          <w:szCs w:val="28"/>
        </w:rPr>
        <w:t>/0</w:t>
      </w:r>
      <w:r w:rsidR="001117AE" w:rsidRPr="007315E3">
        <w:rPr>
          <w:szCs w:val="28"/>
        </w:rPr>
        <w:t>1</w:t>
      </w:r>
      <w:r w:rsidR="00BC0731" w:rsidRPr="007315E3">
        <w:rPr>
          <w:szCs w:val="28"/>
        </w:rPr>
        <w:t>-0</w:t>
      </w:r>
      <w:r w:rsidR="001117AE" w:rsidRPr="007315E3">
        <w:rPr>
          <w:szCs w:val="28"/>
        </w:rPr>
        <w:t>4</w:t>
      </w:r>
      <w:r w:rsidRPr="00FA7F7E">
        <w:rPr>
          <w:szCs w:val="28"/>
        </w:rPr>
        <w:t> </w:t>
      </w:r>
    </w:p>
    <w:bookmarkEnd w:id="0"/>
    <w:p w14:paraId="1BA284FC" w14:textId="77777777" w:rsidR="00345E41" w:rsidRPr="00024E22" w:rsidRDefault="00345E41" w:rsidP="008A5B8B">
      <w:pPr>
        <w:spacing w:line="240" w:lineRule="auto"/>
        <w:ind w:firstLine="0"/>
        <w:rPr>
          <w:szCs w:val="28"/>
        </w:rPr>
        <w:sectPr w:rsidR="00345E41" w:rsidRPr="00024E22" w:rsidSect="00A344C2">
          <w:headerReference w:type="even" r:id="rId8"/>
          <w:footerReference w:type="even" r:id="rId9"/>
          <w:pgSz w:w="11906" w:h="16838" w:code="9"/>
          <w:pgMar w:top="1134" w:right="567" w:bottom="1134" w:left="1701" w:header="340" w:footer="454" w:gutter="0"/>
          <w:pgNumType w:start="1"/>
          <w:cols w:space="708"/>
          <w:titlePg/>
          <w:docGrid w:linePitch="360"/>
        </w:sectPr>
      </w:pPr>
    </w:p>
    <w:p w14:paraId="4E3A283E" w14:textId="77777777" w:rsidR="004F11B8" w:rsidRPr="00A4483A" w:rsidRDefault="004F11B8" w:rsidP="008A5B8B">
      <w:pPr>
        <w:spacing w:line="240" w:lineRule="auto"/>
        <w:ind w:left="-567" w:firstLine="567"/>
        <w:contextualSpacing/>
        <w:jc w:val="center"/>
        <w:rPr>
          <w:b/>
          <w:sz w:val="24"/>
          <w:szCs w:val="24"/>
        </w:rPr>
      </w:pPr>
      <w:r w:rsidRPr="00A4483A">
        <w:rPr>
          <w:b/>
          <w:sz w:val="24"/>
          <w:szCs w:val="24"/>
        </w:rPr>
        <w:lastRenderedPageBreak/>
        <w:t>СОДЕРЖАНИЕ</w:t>
      </w:r>
    </w:p>
    <w:p w14:paraId="6FE88F5C" w14:textId="77777777" w:rsidR="004F11B8" w:rsidRPr="00A4483A" w:rsidRDefault="004F11B8" w:rsidP="008A5B8B">
      <w:pPr>
        <w:spacing w:line="240" w:lineRule="auto"/>
        <w:ind w:left="-567" w:firstLine="567"/>
        <w:contextualSpacing/>
        <w:rPr>
          <w:sz w:val="24"/>
          <w:szCs w:val="24"/>
        </w:rPr>
      </w:pPr>
    </w:p>
    <w:sdt>
      <w:sdtPr>
        <w:rPr>
          <w:rFonts w:ascii="Times New Roman" w:eastAsia="Times New Roman" w:hAnsi="Times New Roman"/>
          <w:sz w:val="28"/>
          <w:szCs w:val="20"/>
          <w:lang w:eastAsia="ru-RU"/>
        </w:rPr>
        <w:id w:val="-160548104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6B5B0A93" w14:textId="13C0AB01" w:rsidR="00C40053" w:rsidRPr="00C40053" w:rsidRDefault="00EC7CA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486190" w:history="1">
            <w:r w:rsidR="00C40053" w:rsidRPr="00C40053">
              <w:rPr>
                <w:rStyle w:val="afe"/>
                <w:rFonts w:ascii="Times New Roman" w:hAnsi="Times New Roman"/>
                <w:noProof/>
                <w:sz w:val="24"/>
                <w:szCs w:val="24"/>
              </w:rPr>
              <w:t>1. Общие положения</w:t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_Toc222486190 \h </w:instrText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C40053"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B18C4F" w14:textId="2B00B3E2" w:rsidR="00C40053" w:rsidRPr="00C40053" w:rsidRDefault="00C40053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2486191" w:history="1">
            <w:r w:rsidRPr="00C40053">
              <w:rPr>
                <w:rStyle w:val="afe"/>
                <w:rFonts w:ascii="Times New Roman" w:hAnsi="Times New Roman"/>
                <w:noProof/>
                <w:sz w:val="24"/>
                <w:szCs w:val="24"/>
              </w:rPr>
              <w:t>2. Содержание и организация осуществления стратегическогоаудита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_Toc222486191 \h </w:instrTex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60838D" w14:textId="3F2F336A" w:rsidR="00C40053" w:rsidRPr="00C40053" w:rsidRDefault="00C40053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2486192" w:history="1">
            <w:r w:rsidRPr="00C40053">
              <w:rPr>
                <w:rStyle w:val="afe"/>
                <w:rFonts w:ascii="Times New Roman" w:hAnsi="Times New Roman"/>
                <w:noProof/>
                <w:sz w:val="24"/>
                <w:szCs w:val="24"/>
              </w:rPr>
              <w:t>3. Подготовительный этап проведения мероприятия при осуществлении стратегического аудита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_Toc222486192 \h </w:instrTex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A36B53" w14:textId="3731A126" w:rsidR="00C40053" w:rsidRPr="00C40053" w:rsidRDefault="00C40053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2486193" w:history="1">
            <w:r w:rsidRPr="00C40053">
              <w:rPr>
                <w:rStyle w:val="afe"/>
                <w:rFonts w:ascii="Times New Roman" w:hAnsi="Times New Roman"/>
                <w:bCs/>
                <w:noProof/>
                <w:sz w:val="24"/>
                <w:szCs w:val="24"/>
              </w:rPr>
              <w:t>4. Основной этап проведения мероприятия при осуществлении стратегического аудита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_Toc222486193 \h </w:instrTex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592459" w14:textId="46985ECF" w:rsidR="00C40053" w:rsidRDefault="00C40053">
          <w:pPr>
            <w:pStyle w:val="2c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22486194" w:history="1">
            <w:r w:rsidRPr="00C40053">
              <w:rPr>
                <w:rStyle w:val="afe"/>
                <w:rFonts w:ascii="Times New Roman" w:hAnsi="Times New Roman"/>
                <w:bCs/>
                <w:noProof/>
                <w:sz w:val="24"/>
                <w:szCs w:val="24"/>
              </w:rPr>
              <w:t>5. Заключительный этап проведения мероприятия при осуществлении стратегического аудита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_Toc222486194 \h </w:instrTex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C40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E147B8" w14:textId="13D431F7" w:rsidR="00EC7CAF" w:rsidRDefault="00EC7CAF">
          <w:r>
            <w:rPr>
              <w:b/>
              <w:bCs/>
            </w:rPr>
            <w:fldChar w:fldCharType="end"/>
          </w:r>
        </w:p>
      </w:sdtContent>
    </w:sdt>
    <w:p w14:paraId="077C798C" w14:textId="4E3914E8" w:rsidR="00A4483A" w:rsidRDefault="00A4483A">
      <w:pPr>
        <w:spacing w:line="240" w:lineRule="auto"/>
        <w:ind w:firstLine="0"/>
        <w:jc w:val="left"/>
        <w:rPr>
          <w:b/>
          <w:caps/>
          <w:sz w:val="24"/>
          <w:szCs w:val="28"/>
        </w:rPr>
      </w:pPr>
      <w:r>
        <w:br w:type="page"/>
      </w:r>
    </w:p>
    <w:p w14:paraId="5CE5245D" w14:textId="0F854A34" w:rsidR="004F11B8" w:rsidRPr="00A4483A" w:rsidRDefault="004F11B8" w:rsidP="00E27522">
      <w:pPr>
        <w:pStyle w:val="2"/>
        <w:rPr>
          <w:sz w:val="25"/>
          <w:szCs w:val="25"/>
        </w:rPr>
      </w:pPr>
      <w:bookmarkStart w:id="1" w:name="_Toc222486190"/>
      <w:r w:rsidRPr="00A4483A">
        <w:rPr>
          <w:sz w:val="25"/>
          <w:szCs w:val="25"/>
        </w:rPr>
        <w:lastRenderedPageBreak/>
        <w:t>1. Общие положения</w:t>
      </w:r>
      <w:bookmarkEnd w:id="1"/>
    </w:p>
    <w:p w14:paraId="5DB0ECAF" w14:textId="77777777" w:rsidR="004F11B8" w:rsidRPr="00A4483A" w:rsidRDefault="004F11B8" w:rsidP="00E27522">
      <w:pPr>
        <w:pStyle w:val="2"/>
        <w:rPr>
          <w:sz w:val="25"/>
          <w:szCs w:val="25"/>
        </w:rPr>
      </w:pPr>
    </w:p>
    <w:p w14:paraId="6774DACD" w14:textId="0357CD26" w:rsidR="004F11B8" w:rsidRPr="00A4483A" w:rsidRDefault="004F11B8" w:rsidP="00E60F7F">
      <w:pPr>
        <w:pStyle w:val="afff4"/>
        <w:numPr>
          <w:ilvl w:val="1"/>
          <w:numId w:val="37"/>
        </w:numPr>
        <w:spacing w:line="240" w:lineRule="auto"/>
        <w:ind w:left="0" w:firstLine="709"/>
        <w:rPr>
          <w:sz w:val="25"/>
          <w:szCs w:val="25"/>
        </w:rPr>
      </w:pPr>
      <w:r w:rsidRPr="00A4483A">
        <w:rPr>
          <w:sz w:val="25"/>
          <w:szCs w:val="25"/>
        </w:rPr>
        <w:t xml:space="preserve">Стандарт внешнего муниципального финансового контроля </w:t>
      </w:r>
      <w:bookmarkStart w:id="2" w:name="_Hlk222487222"/>
      <w:r w:rsidR="003220CD" w:rsidRPr="003220CD">
        <w:rPr>
          <w:sz w:val="25"/>
          <w:szCs w:val="25"/>
        </w:rPr>
        <w:t xml:space="preserve">«Оценка реализуемости, рисков и результатов достижения целей социально-экономического развития </w:t>
      </w:r>
      <w:r w:rsidR="009329FE">
        <w:rPr>
          <w:sz w:val="25"/>
          <w:szCs w:val="25"/>
        </w:rPr>
        <w:t>Сосновоборского городского округа</w:t>
      </w:r>
      <w:r w:rsidR="003220CD" w:rsidRPr="003220CD">
        <w:rPr>
          <w:sz w:val="25"/>
          <w:szCs w:val="25"/>
        </w:rPr>
        <w:t xml:space="preserve">, предусмотренных документами стратегического планирования </w:t>
      </w:r>
      <w:r w:rsidR="00BE7F33">
        <w:rPr>
          <w:sz w:val="25"/>
          <w:szCs w:val="25"/>
        </w:rPr>
        <w:t xml:space="preserve">Сосновоборского городского округа </w:t>
      </w:r>
      <w:r w:rsidR="0097769F" w:rsidRPr="0097769F">
        <w:rPr>
          <w:sz w:val="25"/>
          <w:szCs w:val="25"/>
        </w:rPr>
        <w:t>в пределах компетенции контрольно-счетного органа муниципального</w:t>
      </w:r>
      <w:r w:rsidR="00E60F7F">
        <w:rPr>
          <w:sz w:val="25"/>
          <w:szCs w:val="25"/>
        </w:rPr>
        <w:t xml:space="preserve"> образования</w:t>
      </w:r>
      <w:r w:rsidR="003220CD" w:rsidRPr="003220CD">
        <w:rPr>
          <w:sz w:val="25"/>
          <w:szCs w:val="25"/>
        </w:rPr>
        <w:t>»</w:t>
      </w:r>
      <w:r w:rsidRPr="00A4483A">
        <w:rPr>
          <w:sz w:val="25"/>
          <w:szCs w:val="25"/>
        </w:rPr>
        <w:t xml:space="preserve"> </w:t>
      </w:r>
      <w:bookmarkEnd w:id="2"/>
      <w:r w:rsidRPr="00A4483A">
        <w:rPr>
          <w:sz w:val="25"/>
          <w:szCs w:val="25"/>
        </w:rPr>
        <w:t xml:space="preserve">(далее – Стандарт) разработан в соответствии </w:t>
      </w:r>
      <w:r w:rsidR="00FD233B" w:rsidRPr="00A4483A">
        <w:rPr>
          <w:sz w:val="25"/>
          <w:szCs w:val="25"/>
        </w:rPr>
        <w:t xml:space="preserve">со статьей 11 </w:t>
      </w:r>
      <w:r w:rsidRPr="00A4483A">
        <w:rPr>
          <w:sz w:val="25"/>
          <w:szCs w:val="25"/>
        </w:rPr>
        <w:t>Федеральн</w:t>
      </w:r>
      <w:r w:rsidR="00ED403A">
        <w:rPr>
          <w:sz w:val="25"/>
          <w:szCs w:val="25"/>
        </w:rPr>
        <w:t>ого</w:t>
      </w:r>
      <w:r w:rsidRPr="00A4483A">
        <w:rPr>
          <w:sz w:val="25"/>
          <w:szCs w:val="25"/>
        </w:rPr>
        <w:t xml:space="preserve"> закон</w:t>
      </w:r>
      <w:r w:rsidR="00ED403A">
        <w:rPr>
          <w:sz w:val="25"/>
          <w:szCs w:val="25"/>
        </w:rPr>
        <w:t>а</w:t>
      </w:r>
      <w:r w:rsidRPr="00A4483A">
        <w:rPr>
          <w:sz w:val="25"/>
          <w:szCs w:val="25"/>
        </w:rPr>
        <w:t xml:space="preserve">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 (далее – </w:t>
      </w:r>
      <w:bookmarkStart w:id="3" w:name="_Hlk222232154"/>
      <w:r w:rsidRPr="00A4483A">
        <w:rPr>
          <w:sz w:val="25"/>
          <w:szCs w:val="25"/>
        </w:rPr>
        <w:t>Федеральный закон № 6-ФЗ</w:t>
      </w:r>
      <w:bookmarkEnd w:id="3"/>
      <w:r w:rsidRPr="00A4483A">
        <w:rPr>
          <w:sz w:val="25"/>
          <w:szCs w:val="25"/>
        </w:rPr>
        <w:t xml:space="preserve">), </w:t>
      </w:r>
      <w:r w:rsidR="00FD233B" w:rsidRPr="00A4483A">
        <w:rPr>
          <w:sz w:val="25"/>
          <w:szCs w:val="25"/>
        </w:rPr>
        <w:t xml:space="preserve">статьей 10 </w:t>
      </w:r>
      <w:r w:rsidRPr="00A4483A">
        <w:rPr>
          <w:sz w:val="25"/>
          <w:szCs w:val="25"/>
        </w:rPr>
        <w:t>Положени</w:t>
      </w:r>
      <w:r w:rsidR="00FD233B" w:rsidRPr="00A4483A">
        <w:rPr>
          <w:sz w:val="25"/>
          <w:szCs w:val="25"/>
        </w:rPr>
        <w:t>я</w:t>
      </w:r>
      <w:r w:rsidRPr="00A4483A">
        <w:rPr>
          <w:sz w:val="25"/>
          <w:szCs w:val="25"/>
        </w:rPr>
        <w:t xml:space="preserve"> о Контрольно-счетной палат</w:t>
      </w:r>
      <w:r w:rsidR="00FD233B" w:rsidRPr="00A4483A">
        <w:rPr>
          <w:sz w:val="25"/>
          <w:szCs w:val="25"/>
        </w:rPr>
        <w:t>ы</w:t>
      </w:r>
      <w:r w:rsidRPr="00A4483A">
        <w:rPr>
          <w:sz w:val="25"/>
          <w:szCs w:val="25"/>
        </w:rPr>
        <w:t xml:space="preserve"> </w:t>
      </w:r>
      <w:r w:rsidR="00F87251" w:rsidRPr="00A4483A">
        <w:rPr>
          <w:sz w:val="25"/>
          <w:szCs w:val="25"/>
        </w:rPr>
        <w:t>Сосновоборского городского округа</w:t>
      </w:r>
      <w:r w:rsidRPr="00A4483A">
        <w:rPr>
          <w:sz w:val="25"/>
          <w:szCs w:val="25"/>
        </w:rPr>
        <w:t>, утвержденн</w:t>
      </w:r>
      <w:r w:rsidR="00FD233B" w:rsidRPr="00A4483A">
        <w:rPr>
          <w:sz w:val="25"/>
          <w:szCs w:val="25"/>
        </w:rPr>
        <w:t>ого</w:t>
      </w:r>
      <w:r w:rsidRPr="00A4483A">
        <w:rPr>
          <w:sz w:val="25"/>
          <w:szCs w:val="25"/>
        </w:rPr>
        <w:t xml:space="preserve"> решением Совета депутатов </w:t>
      </w:r>
      <w:r w:rsidR="00F87251" w:rsidRPr="00A4483A">
        <w:rPr>
          <w:sz w:val="25"/>
          <w:szCs w:val="25"/>
        </w:rPr>
        <w:t xml:space="preserve">Сосновоборского </w:t>
      </w:r>
      <w:r w:rsidRPr="00A4483A">
        <w:rPr>
          <w:sz w:val="25"/>
          <w:szCs w:val="25"/>
        </w:rPr>
        <w:t xml:space="preserve">городского округа от </w:t>
      </w:r>
      <w:r w:rsidR="00F87251" w:rsidRPr="00A4483A">
        <w:rPr>
          <w:sz w:val="25"/>
          <w:szCs w:val="25"/>
        </w:rPr>
        <w:t>27</w:t>
      </w:r>
      <w:r w:rsidRPr="00A4483A">
        <w:rPr>
          <w:sz w:val="25"/>
          <w:szCs w:val="25"/>
        </w:rPr>
        <w:t>.0</w:t>
      </w:r>
      <w:r w:rsidR="00F87251" w:rsidRPr="00A4483A">
        <w:rPr>
          <w:sz w:val="25"/>
          <w:szCs w:val="25"/>
        </w:rPr>
        <w:t>2</w:t>
      </w:r>
      <w:r w:rsidRPr="00A4483A">
        <w:rPr>
          <w:sz w:val="25"/>
          <w:szCs w:val="25"/>
        </w:rPr>
        <w:t>.201</w:t>
      </w:r>
      <w:r w:rsidR="00F87251" w:rsidRPr="00A4483A">
        <w:rPr>
          <w:sz w:val="25"/>
          <w:szCs w:val="25"/>
        </w:rPr>
        <w:t>9</w:t>
      </w:r>
      <w:r w:rsidRPr="00A4483A">
        <w:rPr>
          <w:sz w:val="25"/>
          <w:szCs w:val="25"/>
        </w:rPr>
        <w:t xml:space="preserve"> № </w:t>
      </w:r>
      <w:r w:rsidR="00F87251" w:rsidRPr="00A4483A">
        <w:rPr>
          <w:sz w:val="25"/>
          <w:szCs w:val="25"/>
        </w:rPr>
        <w:t>15</w:t>
      </w:r>
      <w:r w:rsidRPr="00A4483A">
        <w:rPr>
          <w:sz w:val="25"/>
          <w:szCs w:val="25"/>
        </w:rPr>
        <w:t xml:space="preserve"> (далее — Положение </w:t>
      </w:r>
      <w:r w:rsidR="00FD233B" w:rsidRPr="00A4483A">
        <w:rPr>
          <w:sz w:val="25"/>
          <w:szCs w:val="25"/>
        </w:rPr>
        <w:t xml:space="preserve">о </w:t>
      </w:r>
      <w:r w:rsidRPr="00A4483A">
        <w:rPr>
          <w:sz w:val="25"/>
          <w:szCs w:val="25"/>
        </w:rPr>
        <w:t>КСП</w:t>
      </w:r>
      <w:r w:rsidR="00020414" w:rsidRPr="00A4483A">
        <w:rPr>
          <w:sz w:val="25"/>
          <w:szCs w:val="25"/>
        </w:rPr>
        <w:t xml:space="preserve"> СГО</w:t>
      </w:r>
      <w:r w:rsidRPr="00A4483A">
        <w:rPr>
          <w:sz w:val="25"/>
          <w:szCs w:val="25"/>
        </w:rPr>
        <w:t xml:space="preserve">), </w:t>
      </w:r>
      <w:r w:rsidR="00ED403A" w:rsidRPr="00ED403A">
        <w:rPr>
          <w:sz w:val="25"/>
          <w:szCs w:val="25"/>
        </w:rPr>
        <w:t>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</w:t>
      </w:r>
      <w:r w:rsidR="00197226">
        <w:rPr>
          <w:sz w:val="25"/>
          <w:szCs w:val="25"/>
        </w:rPr>
        <w:t>.03.</w:t>
      </w:r>
      <w:r w:rsidR="00ED403A" w:rsidRPr="00ED403A">
        <w:rPr>
          <w:sz w:val="25"/>
          <w:szCs w:val="25"/>
        </w:rPr>
        <w:t>2022 № 2ПК, Стандарта внешнего государственного аудита (контроля) Счетной палаты Российской Федерации СГА 105 «Стратегический аудит», утвержденного постановлением Коллегии Счетной палаты Российской Федерации от 10</w:t>
      </w:r>
      <w:r w:rsidR="00197226">
        <w:rPr>
          <w:sz w:val="25"/>
          <w:szCs w:val="25"/>
        </w:rPr>
        <w:t>.11.</w:t>
      </w:r>
      <w:r w:rsidR="00ED403A" w:rsidRPr="00ED403A">
        <w:rPr>
          <w:sz w:val="25"/>
          <w:szCs w:val="25"/>
        </w:rPr>
        <w:t>2020 № 17ПК (далее – СГА 105 «Стратегический аудит»)</w:t>
      </w:r>
      <w:r w:rsidR="00ED403A">
        <w:rPr>
          <w:sz w:val="25"/>
          <w:szCs w:val="25"/>
        </w:rPr>
        <w:t xml:space="preserve">, положений </w:t>
      </w:r>
      <w:r w:rsidRPr="00A4483A">
        <w:rPr>
          <w:sz w:val="25"/>
          <w:szCs w:val="25"/>
        </w:rPr>
        <w:t>Регламент</w:t>
      </w:r>
      <w:r w:rsidR="00FD233B" w:rsidRPr="00A4483A">
        <w:rPr>
          <w:sz w:val="25"/>
          <w:szCs w:val="25"/>
        </w:rPr>
        <w:t>а</w:t>
      </w:r>
      <w:r w:rsidRPr="00A4483A">
        <w:rPr>
          <w:sz w:val="25"/>
          <w:szCs w:val="25"/>
        </w:rPr>
        <w:t xml:space="preserve"> Контрольно-счетной палаты </w:t>
      </w:r>
      <w:r w:rsidR="00F87251" w:rsidRPr="00A4483A">
        <w:rPr>
          <w:sz w:val="25"/>
          <w:szCs w:val="25"/>
        </w:rPr>
        <w:t xml:space="preserve">Сосновоборского </w:t>
      </w:r>
      <w:r w:rsidRPr="00A4483A">
        <w:rPr>
          <w:sz w:val="25"/>
          <w:szCs w:val="25"/>
        </w:rPr>
        <w:t>городского округа (далее – Регламент</w:t>
      </w:r>
      <w:r w:rsidR="00FD233B" w:rsidRPr="00A4483A">
        <w:rPr>
          <w:sz w:val="25"/>
          <w:szCs w:val="25"/>
        </w:rPr>
        <w:t xml:space="preserve"> КСП СГО</w:t>
      </w:r>
      <w:r w:rsidRPr="00A4483A">
        <w:rPr>
          <w:sz w:val="25"/>
          <w:szCs w:val="25"/>
        </w:rPr>
        <w:t>).</w:t>
      </w:r>
    </w:p>
    <w:p w14:paraId="08FAD387" w14:textId="27927C92" w:rsidR="004F11B8" w:rsidRPr="00A4483A" w:rsidRDefault="00FD233B" w:rsidP="00E60F7F">
      <w:pPr>
        <w:pStyle w:val="afff4"/>
        <w:numPr>
          <w:ilvl w:val="1"/>
          <w:numId w:val="37"/>
        </w:numPr>
        <w:spacing w:line="240" w:lineRule="auto"/>
        <w:ind w:left="0" w:firstLine="709"/>
        <w:rPr>
          <w:sz w:val="25"/>
          <w:szCs w:val="25"/>
        </w:rPr>
      </w:pPr>
      <w:r w:rsidRPr="00A4483A">
        <w:rPr>
          <w:sz w:val="25"/>
          <w:szCs w:val="25"/>
        </w:rPr>
        <w:t>Стандарт предназначен для применения должностными лицами</w:t>
      </w:r>
      <w:r w:rsidR="00DD5936" w:rsidRPr="00A4483A">
        <w:rPr>
          <w:sz w:val="25"/>
          <w:szCs w:val="25"/>
        </w:rPr>
        <w:t xml:space="preserve"> </w:t>
      </w:r>
      <w:r w:rsidR="00386CE4" w:rsidRPr="00A4483A">
        <w:rPr>
          <w:sz w:val="25"/>
          <w:szCs w:val="25"/>
        </w:rPr>
        <w:t xml:space="preserve">Контрольно-счетной палаты </w:t>
      </w:r>
      <w:r w:rsidR="00197226">
        <w:rPr>
          <w:sz w:val="25"/>
          <w:szCs w:val="25"/>
        </w:rPr>
        <w:t>С</w:t>
      </w:r>
      <w:r w:rsidR="00386CE4" w:rsidRPr="00A4483A">
        <w:rPr>
          <w:sz w:val="25"/>
          <w:szCs w:val="25"/>
        </w:rPr>
        <w:t xml:space="preserve">основоборского городского округа (далее - </w:t>
      </w:r>
      <w:r w:rsidR="00DD5936" w:rsidRPr="00A4483A">
        <w:rPr>
          <w:sz w:val="25"/>
          <w:szCs w:val="25"/>
        </w:rPr>
        <w:t>КСП СГО</w:t>
      </w:r>
      <w:r w:rsidR="00386CE4" w:rsidRPr="00A4483A">
        <w:rPr>
          <w:sz w:val="25"/>
          <w:szCs w:val="25"/>
        </w:rPr>
        <w:t>)</w:t>
      </w:r>
      <w:r w:rsidR="00DD5936" w:rsidRPr="00A4483A">
        <w:rPr>
          <w:sz w:val="25"/>
          <w:szCs w:val="25"/>
        </w:rPr>
        <w:t xml:space="preserve"> </w:t>
      </w:r>
      <w:r w:rsidR="00ED403A" w:rsidRPr="00ED403A">
        <w:rPr>
          <w:sz w:val="25"/>
          <w:szCs w:val="25"/>
        </w:rPr>
        <w:t xml:space="preserve">при осуществлении полномочия по оценке реализуемости, рисков и результатов достижения целей социально-экономического развития </w:t>
      </w:r>
      <w:r w:rsidR="00ED403A">
        <w:rPr>
          <w:sz w:val="25"/>
          <w:szCs w:val="25"/>
        </w:rPr>
        <w:t>Сосновоборского городского округа</w:t>
      </w:r>
      <w:r w:rsidR="00ED403A" w:rsidRPr="00ED403A">
        <w:rPr>
          <w:sz w:val="25"/>
          <w:szCs w:val="25"/>
        </w:rPr>
        <w:t>, предусмотренных документами стратегического планирования Ленинградской области, в пределах компетенции К</w:t>
      </w:r>
      <w:r w:rsidR="00652F65">
        <w:rPr>
          <w:sz w:val="25"/>
          <w:szCs w:val="25"/>
        </w:rPr>
        <w:t>СП СГО</w:t>
      </w:r>
      <w:r w:rsidR="00ED403A" w:rsidRPr="00ED403A">
        <w:rPr>
          <w:sz w:val="25"/>
          <w:szCs w:val="25"/>
        </w:rPr>
        <w:t xml:space="preserve"> (далее – стратегический аудит).</w:t>
      </w:r>
    </w:p>
    <w:p w14:paraId="5293C6FD" w14:textId="4023DB4D" w:rsidR="00FB3C18" w:rsidRPr="00A4483A" w:rsidRDefault="004F11B8" w:rsidP="00E60F7F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1.3. Целью Стандарта является </w:t>
      </w:r>
      <w:r w:rsidR="00571E39">
        <w:rPr>
          <w:sz w:val="25"/>
          <w:szCs w:val="25"/>
        </w:rPr>
        <w:t>определение</w:t>
      </w:r>
      <w:r w:rsidRPr="00A4483A">
        <w:rPr>
          <w:sz w:val="25"/>
          <w:szCs w:val="25"/>
        </w:rPr>
        <w:t xml:space="preserve"> общих </w:t>
      </w:r>
      <w:r w:rsidR="00FB3C18" w:rsidRPr="00A4483A">
        <w:rPr>
          <w:sz w:val="25"/>
          <w:szCs w:val="25"/>
        </w:rPr>
        <w:t>требований</w:t>
      </w:r>
      <w:r w:rsidR="005D0A94">
        <w:rPr>
          <w:sz w:val="25"/>
          <w:szCs w:val="25"/>
        </w:rPr>
        <w:t>,</w:t>
      </w:r>
      <w:r w:rsidR="00FB3C18" w:rsidRPr="00A4483A">
        <w:rPr>
          <w:sz w:val="25"/>
          <w:szCs w:val="25"/>
        </w:rPr>
        <w:t xml:space="preserve"> </w:t>
      </w:r>
      <w:r w:rsidR="00571E39">
        <w:rPr>
          <w:sz w:val="25"/>
          <w:szCs w:val="25"/>
        </w:rPr>
        <w:t xml:space="preserve">которые должны выполняться КСП СГО при организации и проведении мероприятий при осуществлении </w:t>
      </w:r>
      <w:r w:rsidR="0073574F">
        <w:rPr>
          <w:sz w:val="25"/>
          <w:szCs w:val="25"/>
        </w:rPr>
        <w:t xml:space="preserve">стратегического </w:t>
      </w:r>
      <w:r w:rsidR="00571E39">
        <w:rPr>
          <w:sz w:val="25"/>
          <w:szCs w:val="25"/>
        </w:rPr>
        <w:t>аудита</w:t>
      </w:r>
      <w:r w:rsidR="009B647F" w:rsidRPr="00A4483A">
        <w:rPr>
          <w:sz w:val="25"/>
          <w:szCs w:val="25"/>
        </w:rPr>
        <w:t xml:space="preserve">. </w:t>
      </w:r>
    </w:p>
    <w:p w14:paraId="7059A6D0" w14:textId="77777777" w:rsidR="00052CA9" w:rsidRDefault="004F11B8" w:rsidP="00E60F7F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1.4. Задач</w:t>
      </w:r>
      <w:r w:rsidR="00571E39">
        <w:rPr>
          <w:sz w:val="25"/>
          <w:szCs w:val="25"/>
        </w:rPr>
        <w:t>ей</w:t>
      </w:r>
      <w:r w:rsidRPr="00A4483A">
        <w:rPr>
          <w:sz w:val="25"/>
          <w:szCs w:val="25"/>
        </w:rPr>
        <w:t xml:space="preserve"> Стандарта явля</w:t>
      </w:r>
      <w:r w:rsidR="00571E39">
        <w:rPr>
          <w:sz w:val="25"/>
          <w:szCs w:val="25"/>
        </w:rPr>
        <w:t>е</w:t>
      </w:r>
      <w:r w:rsidRPr="00A4483A">
        <w:rPr>
          <w:sz w:val="25"/>
          <w:szCs w:val="25"/>
        </w:rPr>
        <w:t>тся</w:t>
      </w:r>
      <w:r w:rsidR="00571E39">
        <w:rPr>
          <w:sz w:val="25"/>
          <w:szCs w:val="25"/>
        </w:rPr>
        <w:t xml:space="preserve"> определение характеристик, правил и процедур организации и проведения мероприятий при осуществлении аудита</w:t>
      </w:r>
      <w:r w:rsidR="005D0A94">
        <w:rPr>
          <w:sz w:val="25"/>
          <w:szCs w:val="25"/>
        </w:rPr>
        <w:t xml:space="preserve"> эффективности, в том числе определение: </w:t>
      </w:r>
    </w:p>
    <w:p w14:paraId="46F6B80E" w14:textId="77777777" w:rsidR="00052CA9" w:rsidRDefault="005D0A94" w:rsidP="00E60F7F">
      <w:pPr>
        <w:spacing w:line="240" w:lineRule="auto"/>
        <w:contextualSpacing/>
      </w:pPr>
      <w:r>
        <w:rPr>
          <w:sz w:val="25"/>
          <w:szCs w:val="25"/>
        </w:rPr>
        <w:t xml:space="preserve">предмета, целей, </w:t>
      </w:r>
      <w:r w:rsidR="0073574F">
        <w:rPr>
          <w:sz w:val="25"/>
          <w:szCs w:val="25"/>
        </w:rPr>
        <w:t>вопросов стратегического</w:t>
      </w:r>
      <w:r>
        <w:rPr>
          <w:sz w:val="25"/>
          <w:szCs w:val="25"/>
        </w:rPr>
        <w:t xml:space="preserve"> аудита</w:t>
      </w:r>
      <w:r w:rsidR="0073574F">
        <w:rPr>
          <w:sz w:val="25"/>
          <w:szCs w:val="25"/>
        </w:rPr>
        <w:t>,</w:t>
      </w:r>
      <w:r w:rsidR="0073574F" w:rsidRPr="0073574F">
        <w:t xml:space="preserve"> </w:t>
      </w:r>
    </w:p>
    <w:p w14:paraId="4E4C49EE" w14:textId="77777777" w:rsidR="00052CA9" w:rsidRDefault="0073574F" w:rsidP="00E60F7F">
      <w:pPr>
        <w:spacing w:line="240" w:lineRule="auto"/>
        <w:contextualSpacing/>
        <w:rPr>
          <w:sz w:val="25"/>
          <w:szCs w:val="25"/>
        </w:rPr>
      </w:pPr>
      <w:r w:rsidRPr="0073574F">
        <w:rPr>
          <w:sz w:val="25"/>
          <w:szCs w:val="25"/>
        </w:rPr>
        <w:t xml:space="preserve">критериев стратегического аудита, </w:t>
      </w:r>
    </w:p>
    <w:p w14:paraId="74F1F6ED" w14:textId="77777777" w:rsidR="00052CA9" w:rsidRDefault="0073574F" w:rsidP="00E60F7F">
      <w:pPr>
        <w:spacing w:line="240" w:lineRule="auto"/>
        <w:contextualSpacing/>
        <w:rPr>
          <w:sz w:val="25"/>
          <w:szCs w:val="25"/>
        </w:rPr>
      </w:pPr>
      <w:r w:rsidRPr="0073574F">
        <w:rPr>
          <w:sz w:val="25"/>
          <w:szCs w:val="25"/>
        </w:rPr>
        <w:t xml:space="preserve">подходов проведения стратегического аудита, </w:t>
      </w:r>
    </w:p>
    <w:p w14:paraId="7F2DB77D" w14:textId="5FBD1C42" w:rsidR="004F11B8" w:rsidRPr="00A4483A" w:rsidRDefault="0073574F" w:rsidP="00E60F7F">
      <w:pPr>
        <w:spacing w:line="240" w:lineRule="auto"/>
        <w:contextualSpacing/>
        <w:rPr>
          <w:sz w:val="25"/>
          <w:szCs w:val="25"/>
        </w:rPr>
      </w:pPr>
      <w:r w:rsidRPr="0073574F">
        <w:rPr>
          <w:sz w:val="25"/>
          <w:szCs w:val="25"/>
        </w:rPr>
        <w:t>этапов проведения мероприятий при осуществлении стратегического аудита.</w:t>
      </w:r>
    </w:p>
    <w:p w14:paraId="7C62A8B2" w14:textId="254ED0E4" w:rsidR="00FC10F3" w:rsidRDefault="004F11B8" w:rsidP="00E60F7F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1.5. </w:t>
      </w:r>
      <w:r w:rsidR="00FC10F3" w:rsidRPr="00FC10F3">
        <w:rPr>
          <w:sz w:val="25"/>
          <w:szCs w:val="25"/>
        </w:rPr>
        <w:t xml:space="preserve">При организации и проведении мероприятий при осуществлении стратегического аудита должностные лица </w:t>
      </w:r>
      <w:r w:rsidR="00FC10F3">
        <w:rPr>
          <w:sz w:val="25"/>
          <w:szCs w:val="25"/>
        </w:rPr>
        <w:t>КСП СГО</w:t>
      </w:r>
      <w:r w:rsidR="00FC10F3" w:rsidRPr="00FC10F3">
        <w:rPr>
          <w:sz w:val="25"/>
          <w:szCs w:val="25"/>
        </w:rPr>
        <w:t xml:space="preserve"> обязаны руководствоваться Конституцией Российской Федерации, бюджетным законодательством Российской Федерации, иными нормативными правовыми актами Российской Федерации</w:t>
      </w:r>
      <w:r w:rsidR="00FC10F3">
        <w:rPr>
          <w:sz w:val="25"/>
          <w:szCs w:val="25"/>
        </w:rPr>
        <w:t>,</w:t>
      </w:r>
      <w:r w:rsidR="00FC10F3" w:rsidRPr="00FC10F3">
        <w:rPr>
          <w:sz w:val="25"/>
          <w:szCs w:val="25"/>
        </w:rPr>
        <w:t xml:space="preserve"> Ленинградской области</w:t>
      </w:r>
      <w:r w:rsidR="00FC10F3">
        <w:rPr>
          <w:sz w:val="25"/>
          <w:szCs w:val="25"/>
        </w:rPr>
        <w:t xml:space="preserve"> и Сосновоборского городского округа</w:t>
      </w:r>
      <w:r w:rsidR="00FC10F3" w:rsidRPr="00FC10F3">
        <w:rPr>
          <w:sz w:val="25"/>
          <w:szCs w:val="25"/>
        </w:rPr>
        <w:t xml:space="preserve">, Регламентом </w:t>
      </w:r>
      <w:r w:rsidR="00FC10F3">
        <w:rPr>
          <w:sz w:val="25"/>
          <w:szCs w:val="25"/>
        </w:rPr>
        <w:t>КСП СГО</w:t>
      </w:r>
      <w:r w:rsidR="00FC10F3" w:rsidRPr="00FC10F3">
        <w:rPr>
          <w:sz w:val="25"/>
          <w:szCs w:val="25"/>
        </w:rPr>
        <w:t xml:space="preserve">, Стандартом, а также иными правовыми актами </w:t>
      </w:r>
      <w:r w:rsidR="00FC10F3">
        <w:rPr>
          <w:sz w:val="25"/>
          <w:szCs w:val="25"/>
        </w:rPr>
        <w:t>КСП СГО</w:t>
      </w:r>
      <w:r w:rsidR="00FC10F3" w:rsidRPr="00FC10F3">
        <w:rPr>
          <w:sz w:val="25"/>
          <w:szCs w:val="25"/>
        </w:rPr>
        <w:t>.</w:t>
      </w:r>
    </w:p>
    <w:p w14:paraId="1CBF22E0" w14:textId="77777777" w:rsidR="00117E1D" w:rsidRPr="00117E1D" w:rsidRDefault="005D0A94" w:rsidP="00E60F7F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1.6.</w:t>
      </w:r>
      <w:r w:rsidR="00776A1E" w:rsidRPr="00776A1E">
        <w:t xml:space="preserve"> </w:t>
      </w:r>
      <w:r w:rsidR="00117E1D" w:rsidRPr="00117E1D">
        <w:rPr>
          <w:sz w:val="25"/>
          <w:szCs w:val="25"/>
        </w:rPr>
        <w:t>Для целей настоящего Стандарта применяются следующие термины и определения:</w:t>
      </w:r>
    </w:p>
    <w:p w14:paraId="6BA9ABBC" w14:textId="616ACEBF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 xml:space="preserve">1) стратегические цели – цели, установленные в документах стратегического планирования </w:t>
      </w:r>
      <w:r>
        <w:rPr>
          <w:sz w:val="25"/>
          <w:szCs w:val="25"/>
        </w:rPr>
        <w:t>Сосновоборского городского округа</w:t>
      </w:r>
      <w:r w:rsidRPr="00117E1D">
        <w:rPr>
          <w:sz w:val="25"/>
          <w:szCs w:val="25"/>
        </w:rPr>
        <w:t xml:space="preserve">, разрабатываемых в рамках целеполагания, планирования и программирования на </w:t>
      </w:r>
      <w:r>
        <w:rPr>
          <w:sz w:val="25"/>
          <w:szCs w:val="25"/>
        </w:rPr>
        <w:t>муниципальном</w:t>
      </w:r>
      <w:r w:rsidRPr="00117E1D">
        <w:rPr>
          <w:sz w:val="25"/>
          <w:szCs w:val="25"/>
        </w:rPr>
        <w:t xml:space="preserve"> уровне;</w:t>
      </w:r>
    </w:p>
    <w:p w14:paraId="672E4C9F" w14:textId="0A00E7A9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lastRenderedPageBreak/>
        <w:t xml:space="preserve">2) участники стратегического управления (объекты стратегического аудита) - участники стратегического планирования, включая сформированные в их составе органы управления проектной деятельностью, а также иные органы и организации, в отношении которых </w:t>
      </w:r>
      <w:r>
        <w:rPr>
          <w:sz w:val="25"/>
          <w:szCs w:val="25"/>
        </w:rPr>
        <w:t>КСП СГО</w:t>
      </w:r>
      <w:r w:rsidRPr="00117E1D">
        <w:rPr>
          <w:sz w:val="25"/>
          <w:szCs w:val="25"/>
        </w:rPr>
        <w:t xml:space="preserve"> вправе осуществлять внешний </w:t>
      </w:r>
      <w:r w:rsidR="00CC56DF">
        <w:rPr>
          <w:sz w:val="25"/>
          <w:szCs w:val="25"/>
        </w:rPr>
        <w:t>муниципальный</w:t>
      </w:r>
      <w:r w:rsidRPr="00117E1D">
        <w:rPr>
          <w:sz w:val="25"/>
          <w:szCs w:val="25"/>
        </w:rPr>
        <w:t xml:space="preserve"> финансовый контроль в пределах своих полномочий, установленных </w:t>
      </w:r>
      <w:r w:rsidR="00310BB1" w:rsidRPr="00310BB1">
        <w:rPr>
          <w:sz w:val="25"/>
          <w:szCs w:val="25"/>
        </w:rPr>
        <w:t>Федеральны</w:t>
      </w:r>
      <w:r w:rsidR="00310BB1">
        <w:rPr>
          <w:sz w:val="25"/>
          <w:szCs w:val="25"/>
        </w:rPr>
        <w:t>м</w:t>
      </w:r>
      <w:r w:rsidR="00310BB1" w:rsidRPr="00310BB1">
        <w:rPr>
          <w:sz w:val="25"/>
          <w:szCs w:val="25"/>
        </w:rPr>
        <w:t xml:space="preserve"> закон</w:t>
      </w:r>
      <w:r w:rsidR="00310BB1">
        <w:rPr>
          <w:sz w:val="25"/>
          <w:szCs w:val="25"/>
        </w:rPr>
        <w:t>ом</w:t>
      </w:r>
      <w:r w:rsidR="00310BB1" w:rsidRPr="00310BB1">
        <w:rPr>
          <w:sz w:val="25"/>
          <w:szCs w:val="25"/>
        </w:rPr>
        <w:t xml:space="preserve"> № 6-ФЗ</w:t>
      </w:r>
      <w:r w:rsidRPr="00117E1D">
        <w:rPr>
          <w:sz w:val="25"/>
          <w:szCs w:val="25"/>
        </w:rPr>
        <w:t>;</w:t>
      </w:r>
    </w:p>
    <w:p w14:paraId="763E5D61" w14:textId="5C557019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 xml:space="preserve">3) прямое </w:t>
      </w:r>
      <w:r w:rsidR="003F4F9B">
        <w:rPr>
          <w:sz w:val="25"/>
          <w:szCs w:val="25"/>
        </w:rPr>
        <w:t>государственное</w:t>
      </w:r>
      <w:r w:rsidR="002F4C01">
        <w:rPr>
          <w:sz w:val="25"/>
          <w:szCs w:val="25"/>
        </w:rPr>
        <w:t xml:space="preserve"> (муниципальное)</w:t>
      </w:r>
      <w:r w:rsidRPr="00117E1D">
        <w:rPr>
          <w:sz w:val="25"/>
          <w:szCs w:val="25"/>
        </w:rPr>
        <w:t xml:space="preserve"> воздействие - фактическая деятельность участников стратегического управления в рамках реализации своих функций и полномочий;</w:t>
      </w:r>
    </w:p>
    <w:p w14:paraId="51914879" w14:textId="77777777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>4) программно-целевой инструмент (далее - программа) - утвержденный участником стратегического управления, вышестоящим или иным уполномоченным органом (организацией), на определенный срок документ, определяющий стратегические цели и (или) разработанный для их реализации, содержащий мероприятия, финансовые и иные ресурсы, предусмотренные для достижения стратегических целей, включая различные сферы (отрасли);</w:t>
      </w:r>
    </w:p>
    <w:p w14:paraId="4D963C13" w14:textId="6E99CB57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 xml:space="preserve">5) целевые группы - группы граждан, организаций, позиционируемые участниками стратегического управления в качестве выгодоприобретателей от реализации программ и (или) прямого </w:t>
      </w:r>
      <w:r w:rsidR="002F4C01">
        <w:rPr>
          <w:sz w:val="25"/>
          <w:szCs w:val="25"/>
        </w:rPr>
        <w:t>государственного (</w:t>
      </w:r>
      <w:r w:rsidR="00172ADB">
        <w:rPr>
          <w:sz w:val="25"/>
          <w:szCs w:val="25"/>
        </w:rPr>
        <w:t>муниципального</w:t>
      </w:r>
      <w:r w:rsidR="002F4C01">
        <w:rPr>
          <w:sz w:val="25"/>
          <w:szCs w:val="25"/>
        </w:rPr>
        <w:t>)</w:t>
      </w:r>
      <w:r w:rsidRPr="00117E1D">
        <w:rPr>
          <w:sz w:val="25"/>
          <w:szCs w:val="25"/>
        </w:rPr>
        <w:t xml:space="preserve"> воздействия;</w:t>
      </w:r>
    </w:p>
    <w:p w14:paraId="178B70E2" w14:textId="52CA3BD0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 xml:space="preserve">6) выгодоприобретатели - группы граждан, организаций, потребности или интересы которых целенаправленно или непреднамеренно затрагиваются программой и (или) прямым </w:t>
      </w:r>
      <w:r w:rsidR="002F4C01">
        <w:rPr>
          <w:sz w:val="25"/>
          <w:szCs w:val="25"/>
        </w:rPr>
        <w:t>государственным (</w:t>
      </w:r>
      <w:r w:rsidR="00172ADB">
        <w:rPr>
          <w:sz w:val="25"/>
          <w:szCs w:val="25"/>
        </w:rPr>
        <w:t>муниципальным</w:t>
      </w:r>
      <w:r w:rsidR="002F4C01">
        <w:rPr>
          <w:sz w:val="25"/>
          <w:szCs w:val="25"/>
        </w:rPr>
        <w:t>)</w:t>
      </w:r>
      <w:r w:rsidRPr="00117E1D">
        <w:rPr>
          <w:sz w:val="25"/>
          <w:szCs w:val="25"/>
        </w:rPr>
        <w:t xml:space="preserve"> воздействием;</w:t>
      </w:r>
    </w:p>
    <w:p w14:paraId="435F2FCD" w14:textId="31B39DDB" w:rsid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 xml:space="preserve">7) непосредственный результат - конкретные продукты, формируемые вследствие реализации программ и (или) прямого </w:t>
      </w:r>
      <w:r w:rsidR="002F4C01">
        <w:rPr>
          <w:sz w:val="25"/>
          <w:szCs w:val="25"/>
        </w:rPr>
        <w:t>государственного (</w:t>
      </w:r>
      <w:r w:rsidR="00172ADB">
        <w:rPr>
          <w:sz w:val="25"/>
          <w:szCs w:val="25"/>
        </w:rPr>
        <w:t>муниципального</w:t>
      </w:r>
      <w:r w:rsidR="002F4C01">
        <w:rPr>
          <w:sz w:val="25"/>
          <w:szCs w:val="25"/>
        </w:rPr>
        <w:t>)</w:t>
      </w:r>
      <w:r w:rsidRPr="00117E1D">
        <w:rPr>
          <w:sz w:val="25"/>
          <w:szCs w:val="25"/>
        </w:rPr>
        <w:t xml:space="preserve"> воздействия и возможные для использования выгодоприобретателями. К непосредственным результатам относятся продукты всех видов деятельности участников стратегического управления, в том числе материальные ценности (объекты инфраструктуры, оказанные услуги и так далее) и нематериальные ценности (механизмы правового регулирования, интеллектуальные права и так далее), продукты законотворческой деятельности;</w:t>
      </w:r>
    </w:p>
    <w:p w14:paraId="23140A2D" w14:textId="77777777" w:rsidR="00117E1D" w:rsidRPr="00117E1D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>8) конечный результат - совокупность значимых изменений, возникающих у выгодоприобретателей после использования непосредственных результатов;</w:t>
      </w:r>
    </w:p>
    <w:p w14:paraId="2D1D7AC3" w14:textId="77777777" w:rsidR="00AC1796" w:rsidRDefault="00117E1D" w:rsidP="00E60F7F">
      <w:pPr>
        <w:spacing w:line="240" w:lineRule="auto"/>
        <w:contextualSpacing/>
        <w:rPr>
          <w:sz w:val="25"/>
          <w:szCs w:val="25"/>
        </w:rPr>
      </w:pPr>
      <w:r w:rsidRPr="00117E1D">
        <w:rPr>
          <w:sz w:val="25"/>
          <w:szCs w:val="25"/>
        </w:rPr>
        <w:t>9) итоговые эффекты - планируемые или фактические средне- и долгосрочные социально-экономические изменения.</w:t>
      </w:r>
    </w:p>
    <w:p w14:paraId="111BFD4F" w14:textId="141963FC" w:rsidR="004F11B8" w:rsidRPr="00A4483A" w:rsidRDefault="004F11B8" w:rsidP="00E60F7F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1.</w:t>
      </w:r>
      <w:r w:rsidR="005D0A94">
        <w:rPr>
          <w:sz w:val="25"/>
          <w:szCs w:val="25"/>
        </w:rPr>
        <w:t>7</w:t>
      </w:r>
      <w:r w:rsidRPr="00A4483A">
        <w:rPr>
          <w:sz w:val="25"/>
          <w:szCs w:val="25"/>
        </w:rPr>
        <w:t xml:space="preserve">. </w:t>
      </w:r>
      <w:r w:rsidR="005976F8" w:rsidRPr="00A4483A">
        <w:rPr>
          <w:sz w:val="25"/>
          <w:szCs w:val="25"/>
        </w:rPr>
        <w:t>Решение вопросов, не урегулированных настоящим Стандартом, осуществляется председателем КСП СГО.</w:t>
      </w:r>
    </w:p>
    <w:p w14:paraId="1687810C" w14:textId="77777777" w:rsidR="004F11B8" w:rsidRPr="00A4483A" w:rsidRDefault="004F11B8" w:rsidP="00E60F7F">
      <w:pPr>
        <w:spacing w:line="240" w:lineRule="auto"/>
        <w:ind w:firstLine="567"/>
        <w:contextualSpacing/>
        <w:rPr>
          <w:sz w:val="25"/>
          <w:szCs w:val="25"/>
        </w:rPr>
      </w:pPr>
    </w:p>
    <w:p w14:paraId="110BC27C" w14:textId="60FF17B0" w:rsidR="004F11B8" w:rsidRPr="00A4483A" w:rsidRDefault="004F11B8" w:rsidP="00E60F7F">
      <w:pPr>
        <w:pStyle w:val="2"/>
        <w:rPr>
          <w:b w:val="0"/>
          <w:sz w:val="25"/>
          <w:szCs w:val="25"/>
        </w:rPr>
      </w:pPr>
      <w:bookmarkStart w:id="4" w:name="_Toc222486191"/>
      <w:r w:rsidRPr="00A4483A">
        <w:rPr>
          <w:sz w:val="25"/>
          <w:szCs w:val="25"/>
        </w:rPr>
        <w:t xml:space="preserve">2. </w:t>
      </w:r>
      <w:r w:rsidR="00776A1E" w:rsidRPr="00776A1E">
        <w:rPr>
          <w:sz w:val="25"/>
          <w:szCs w:val="25"/>
        </w:rPr>
        <w:t xml:space="preserve">Содержание и организация осуществления </w:t>
      </w:r>
      <w:r w:rsidR="00B75517" w:rsidRPr="00B75517">
        <w:rPr>
          <w:sz w:val="25"/>
          <w:szCs w:val="25"/>
        </w:rPr>
        <w:t>стратегического</w:t>
      </w:r>
      <w:r w:rsidR="00776A1E" w:rsidRPr="00776A1E">
        <w:rPr>
          <w:sz w:val="25"/>
          <w:szCs w:val="25"/>
        </w:rPr>
        <w:t>аудита</w:t>
      </w:r>
      <w:bookmarkEnd w:id="4"/>
      <w:r w:rsidR="00776A1E" w:rsidRPr="00776A1E">
        <w:rPr>
          <w:sz w:val="25"/>
          <w:szCs w:val="25"/>
        </w:rPr>
        <w:t xml:space="preserve"> </w:t>
      </w:r>
    </w:p>
    <w:p w14:paraId="545D8C9F" w14:textId="77777777" w:rsidR="00776A1E" w:rsidRDefault="00776A1E" w:rsidP="00E60F7F">
      <w:pPr>
        <w:spacing w:line="240" w:lineRule="auto"/>
        <w:ind w:firstLine="567"/>
        <w:contextualSpacing/>
        <w:rPr>
          <w:bCs/>
          <w:sz w:val="25"/>
          <w:szCs w:val="25"/>
        </w:rPr>
      </w:pPr>
    </w:p>
    <w:p w14:paraId="2F854476" w14:textId="4C237BAE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2.1. Предмет, цели и вопросы стратегического аудита</w:t>
      </w:r>
      <w:r w:rsidR="001E1C18">
        <w:rPr>
          <w:bCs/>
          <w:sz w:val="25"/>
          <w:szCs w:val="25"/>
        </w:rPr>
        <w:t>.</w:t>
      </w:r>
      <w:r w:rsidRPr="00625F76">
        <w:rPr>
          <w:bCs/>
          <w:sz w:val="25"/>
          <w:szCs w:val="25"/>
        </w:rPr>
        <w:t xml:space="preserve"> </w:t>
      </w:r>
    </w:p>
    <w:p w14:paraId="26A0336B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2.1.1. К предмету стратегического аудита относится достижение стратегических целей, в том числе: </w:t>
      </w:r>
    </w:p>
    <w:p w14:paraId="6AE14D76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1) актуальные и прогнозируемые проблемы социально-экономического развития и их причины, ожидания целевых групп, связанные с достижением стратегических целей; </w:t>
      </w:r>
    </w:p>
    <w:p w14:paraId="60658D8B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2) проекты программ, действующие и реализованные программы, деятельность участников стратегического управления по их инициированию (разработке), реализации и завершению, а также ожидаемые и фактические результаты программ (непосредственные результаты, конечные результаты, итоговые эффекты); </w:t>
      </w:r>
    </w:p>
    <w:p w14:paraId="32F3FA11" w14:textId="114FCFDF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3) состояние отдельных элементов системы государственного управления, включая функционирование управленческих, финансово-бюджетных, информационно-телекоммуникационных, правовых и иных элементов системы </w:t>
      </w:r>
      <w:r>
        <w:rPr>
          <w:bCs/>
          <w:sz w:val="25"/>
          <w:szCs w:val="25"/>
        </w:rPr>
        <w:t>муниципального</w:t>
      </w:r>
      <w:r w:rsidRPr="00625F76">
        <w:rPr>
          <w:bCs/>
          <w:sz w:val="25"/>
          <w:szCs w:val="25"/>
        </w:rPr>
        <w:t xml:space="preserve"> управления. </w:t>
      </w:r>
    </w:p>
    <w:p w14:paraId="54CD3F95" w14:textId="37541C26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lastRenderedPageBreak/>
        <w:t>В рамках предмета стратегического аудита также оценивается планируемая или фактическая деятельность объекта стратегического аудита, направленная на достижение стратегических целей, в пределах полномочий, установленных законодательством Российской Федерации</w:t>
      </w:r>
      <w:r>
        <w:rPr>
          <w:bCs/>
          <w:sz w:val="25"/>
          <w:szCs w:val="25"/>
        </w:rPr>
        <w:t>,</w:t>
      </w:r>
      <w:r w:rsidRPr="00625F76">
        <w:rPr>
          <w:bCs/>
          <w:sz w:val="25"/>
          <w:szCs w:val="25"/>
        </w:rPr>
        <w:t xml:space="preserve"> Ленинградской области</w:t>
      </w:r>
      <w:r>
        <w:rPr>
          <w:bCs/>
          <w:sz w:val="25"/>
          <w:szCs w:val="25"/>
        </w:rPr>
        <w:t xml:space="preserve"> и Сосновоборского городского округа</w:t>
      </w:r>
      <w:r w:rsidRPr="00625F76">
        <w:rPr>
          <w:bCs/>
          <w:sz w:val="25"/>
          <w:szCs w:val="25"/>
        </w:rPr>
        <w:t xml:space="preserve">. </w:t>
      </w:r>
    </w:p>
    <w:p w14:paraId="610D1610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2.1.2. Целями стратегического аудита являются: </w:t>
      </w:r>
    </w:p>
    <w:p w14:paraId="4E1442F9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1) оценка реализуемости стратегических целей, которая проводится для определения вероятности и возможности достижения стратегических целей посредством оценки соответствующих программ как на этапе их разработки, так и в процессе их реализации; </w:t>
      </w:r>
    </w:p>
    <w:p w14:paraId="3B8C2642" w14:textId="5B2ABEC0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2) оценка рисков достижения стратегических целей, которая включает анализ и оценку факторов, способных оказать негативное влияние на достижение стратегических целей, в том числе путем оценки документов стратегического планирования, разрабатываемых в рамках прогнозирования и целеполагания. Оценка рисков осуществляется в целях определения наличия и степени влияния внутренних и внешних условий (факторов) на достижение стратегических целей, включая, в том числе оценку рисков соответствующих программ и (или) прямого </w:t>
      </w:r>
      <w:r w:rsidR="002F4C01">
        <w:rPr>
          <w:bCs/>
          <w:sz w:val="25"/>
          <w:szCs w:val="25"/>
        </w:rPr>
        <w:t>государственного (</w:t>
      </w:r>
      <w:r>
        <w:rPr>
          <w:bCs/>
          <w:sz w:val="25"/>
          <w:szCs w:val="25"/>
        </w:rPr>
        <w:t>муниципального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воздействия, направленных на их достижение; </w:t>
      </w:r>
    </w:p>
    <w:p w14:paraId="0AA49051" w14:textId="5BB47022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3) оценка результатов достижения стратегических целей, которая проводится для установления и оценки непосредственных и конечных результатов, а также итоговых эффектов, запланированных или полученных в ходе реализации </w:t>
      </w:r>
      <w:r w:rsidR="003F4F9B">
        <w:rPr>
          <w:bCs/>
          <w:sz w:val="25"/>
          <w:szCs w:val="25"/>
        </w:rPr>
        <w:t xml:space="preserve">муниципальных программ </w:t>
      </w:r>
      <w:r w:rsidRPr="00625F76">
        <w:rPr>
          <w:bCs/>
          <w:sz w:val="25"/>
          <w:szCs w:val="25"/>
        </w:rPr>
        <w:t xml:space="preserve">(или) осуществления прямого </w:t>
      </w:r>
      <w:r w:rsidR="003F4F9B">
        <w:rPr>
          <w:bCs/>
          <w:sz w:val="25"/>
          <w:szCs w:val="25"/>
        </w:rPr>
        <w:t>государственного (</w:t>
      </w:r>
      <w:r>
        <w:rPr>
          <w:bCs/>
          <w:sz w:val="25"/>
          <w:szCs w:val="25"/>
        </w:rPr>
        <w:t>муниципального</w:t>
      </w:r>
      <w:r w:rsidR="003F4F9B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воздействия, направленных на достижение стратегических целей. </w:t>
      </w:r>
    </w:p>
    <w:p w14:paraId="66411AD6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Оценка результатов достижения стратегических целей среди прочего включает: </w:t>
      </w:r>
    </w:p>
    <w:p w14:paraId="6AAF7269" w14:textId="6B90C3D3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- оценку достижения (возможности достижения) по итогам реализации </w:t>
      </w:r>
      <w:r w:rsidR="003F4F9B">
        <w:rPr>
          <w:bCs/>
          <w:sz w:val="25"/>
          <w:szCs w:val="25"/>
        </w:rPr>
        <w:t xml:space="preserve">муниципальной </w:t>
      </w:r>
      <w:r w:rsidRPr="00625F76">
        <w:rPr>
          <w:bCs/>
          <w:sz w:val="25"/>
          <w:szCs w:val="25"/>
        </w:rPr>
        <w:t xml:space="preserve">программы намеченных конечных результатов; </w:t>
      </w:r>
    </w:p>
    <w:p w14:paraId="67C50AD9" w14:textId="64EF24C8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- оценку того, стали (станут) ли результаты </w:t>
      </w:r>
      <w:r w:rsidR="003F4F9B">
        <w:rPr>
          <w:bCs/>
          <w:sz w:val="25"/>
          <w:szCs w:val="25"/>
        </w:rPr>
        <w:t xml:space="preserve">муниципальной </w:t>
      </w:r>
      <w:r w:rsidRPr="00625F76">
        <w:rPr>
          <w:bCs/>
          <w:sz w:val="25"/>
          <w:szCs w:val="25"/>
        </w:rPr>
        <w:t xml:space="preserve">программы причиной значительных непреднамеренных изменений в сферах, затрагивающих интересы целевых групп и выгодоприобретателей; </w:t>
      </w:r>
    </w:p>
    <w:p w14:paraId="0D3E0578" w14:textId="1BCEF961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- оценку того, в какой степени</w:t>
      </w:r>
      <w:r w:rsidR="003F4F9B">
        <w:rPr>
          <w:bCs/>
          <w:sz w:val="25"/>
          <w:szCs w:val="25"/>
        </w:rPr>
        <w:t xml:space="preserve"> муниципальные</w:t>
      </w:r>
      <w:r w:rsidRPr="00625F76">
        <w:rPr>
          <w:bCs/>
          <w:sz w:val="25"/>
          <w:szCs w:val="25"/>
        </w:rPr>
        <w:t xml:space="preserve"> программы или проекты</w:t>
      </w:r>
      <w:r w:rsidR="003F4F9B">
        <w:rPr>
          <w:bCs/>
          <w:sz w:val="25"/>
          <w:szCs w:val="25"/>
        </w:rPr>
        <w:t xml:space="preserve"> муниципальных</w:t>
      </w:r>
      <w:r w:rsidRPr="00625F76">
        <w:rPr>
          <w:bCs/>
          <w:sz w:val="25"/>
          <w:szCs w:val="25"/>
        </w:rPr>
        <w:t xml:space="preserve"> программ дублируют или противоречат другим программам или отдельным действиям в рамках планируемого или реализуемого прямого государственного</w:t>
      </w:r>
      <w:r w:rsidR="002F4C01">
        <w:rPr>
          <w:bCs/>
          <w:sz w:val="25"/>
          <w:szCs w:val="25"/>
        </w:rPr>
        <w:t xml:space="preserve"> (муниципального)</w:t>
      </w:r>
      <w:r w:rsidRPr="00625F76">
        <w:rPr>
          <w:bCs/>
          <w:sz w:val="25"/>
          <w:szCs w:val="25"/>
        </w:rPr>
        <w:t xml:space="preserve"> воздействия; </w:t>
      </w:r>
    </w:p>
    <w:p w14:paraId="1F648FE2" w14:textId="302B86D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- оценку надежности и актуальности показателей непосредственного результата, конечного результата и итогового эффекта </w:t>
      </w:r>
      <w:r w:rsidR="003F4F9B">
        <w:rPr>
          <w:bCs/>
          <w:sz w:val="25"/>
          <w:szCs w:val="25"/>
        </w:rPr>
        <w:t xml:space="preserve">муниципальной </w:t>
      </w:r>
      <w:r w:rsidRPr="00625F76">
        <w:rPr>
          <w:bCs/>
          <w:sz w:val="25"/>
          <w:szCs w:val="25"/>
        </w:rPr>
        <w:t xml:space="preserve">программы или проекта программы, достоверности их фактических или целевых значений соответственно. </w:t>
      </w:r>
    </w:p>
    <w:p w14:paraId="79C1ABEF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2.1.3. Вопросы стратегического аудита определяются по каждой цели и должны ей соответствовать. </w:t>
      </w:r>
    </w:p>
    <w:p w14:paraId="15EDE6BD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Вопросы стратегического аудита должны быть конкретными, нейтральными и позволять получить на них ответ. </w:t>
      </w:r>
    </w:p>
    <w:p w14:paraId="62B99E53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Количество вопросов по каждой цели стратегического аудита должно быть сравнительно небольшим, но они должны быть существенными и важными. </w:t>
      </w:r>
    </w:p>
    <w:p w14:paraId="3CEC13DC" w14:textId="1FAFD6C1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2.1.4. Цели или вопросы стратегического аудита также могут быть направлены на оценку таких параметров, как целевые и прогнозные значения социально-экономического развития, предусмотренные программами, включая документы стратегического планирования, разрабатываемые в рамках целеполагания, прогнозирования, планирования и программирования, риски и значимость деятельности участников стратегического управления, актуальность программ для достижения стратегических целей, обоснованность стратегических целей и результатов, согласованность формируемой или сформированной системы стимулов, взаимная непротиворечивость и взаимодополняемость стратегических целей, прямых государственных</w:t>
      </w:r>
      <w:r w:rsidR="002F4C01">
        <w:rPr>
          <w:bCs/>
          <w:sz w:val="25"/>
          <w:szCs w:val="25"/>
        </w:rPr>
        <w:t xml:space="preserve"> (муниципальных)</w:t>
      </w:r>
      <w:r w:rsidRPr="00625F76">
        <w:rPr>
          <w:bCs/>
          <w:sz w:val="25"/>
          <w:szCs w:val="25"/>
        </w:rPr>
        <w:t xml:space="preserve"> </w:t>
      </w:r>
      <w:r w:rsidRPr="00625F76">
        <w:rPr>
          <w:bCs/>
          <w:sz w:val="25"/>
          <w:szCs w:val="25"/>
        </w:rPr>
        <w:lastRenderedPageBreak/>
        <w:t xml:space="preserve">воздействий и результатов, прямое причинно-следственное влияние прямых </w:t>
      </w:r>
      <w:r w:rsidR="002F4C01">
        <w:rPr>
          <w:bCs/>
          <w:sz w:val="25"/>
          <w:szCs w:val="25"/>
        </w:rPr>
        <w:t>государственных (</w:t>
      </w:r>
      <w:r w:rsidR="00AA5A66">
        <w:rPr>
          <w:bCs/>
          <w:sz w:val="25"/>
          <w:szCs w:val="25"/>
        </w:rPr>
        <w:t>муниципальных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воздействий на достижение стратегических целей, широта охвата распространенности результатов программ и (или) </w:t>
      </w:r>
      <w:r w:rsidR="002F4C01">
        <w:rPr>
          <w:bCs/>
          <w:sz w:val="25"/>
          <w:szCs w:val="25"/>
        </w:rPr>
        <w:t>государственного (</w:t>
      </w:r>
      <w:r w:rsidR="00AA5A66">
        <w:rPr>
          <w:bCs/>
          <w:sz w:val="25"/>
          <w:szCs w:val="25"/>
        </w:rPr>
        <w:t>муниципального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воздействия с точки зрения территориального или отраслевого охвата, охвата различных целевых групп, устойчивость фактических или ожидаемых результатов и эффектов в долгосрочном периоде. Также в процессе постановки</w:t>
      </w:r>
      <w:r w:rsidR="00AA5A66">
        <w:rPr>
          <w:bCs/>
          <w:sz w:val="25"/>
          <w:szCs w:val="25"/>
        </w:rPr>
        <w:t xml:space="preserve"> </w:t>
      </w:r>
      <w:r w:rsidRPr="00625F76">
        <w:rPr>
          <w:bCs/>
          <w:sz w:val="25"/>
          <w:szCs w:val="25"/>
        </w:rPr>
        <w:t xml:space="preserve">целей и формулирования вопросов могут быть определены иные аспекты стратегического аудита с учетом специфики сферы (предметной области), в которой осуществляет свою деятельность объект стратегического аудита. </w:t>
      </w:r>
    </w:p>
    <w:p w14:paraId="47C2BE75" w14:textId="4E91908B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2.1.5. К целям и вопросам стратегического аудита также относятся оценки планируемого (фактического) межотраслевого и (или) межведомственного влияния на конечные результаты и итоговые эффекты соответствующих программ и </w:t>
      </w:r>
      <w:r w:rsidR="00AA5A66">
        <w:rPr>
          <w:bCs/>
          <w:sz w:val="25"/>
          <w:szCs w:val="25"/>
        </w:rPr>
        <w:t>муниципальной</w:t>
      </w:r>
      <w:r w:rsidRPr="00625F76">
        <w:rPr>
          <w:bCs/>
          <w:sz w:val="25"/>
          <w:szCs w:val="25"/>
        </w:rPr>
        <w:t xml:space="preserve"> политики в соответствующих сферах. </w:t>
      </w:r>
    </w:p>
    <w:p w14:paraId="151158B0" w14:textId="084CB2D5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2.2. Критерии стратегического аудита</w:t>
      </w:r>
      <w:r w:rsidR="001E1C18">
        <w:rPr>
          <w:bCs/>
          <w:sz w:val="25"/>
          <w:szCs w:val="25"/>
        </w:rPr>
        <w:t>.</w:t>
      </w:r>
      <w:r w:rsidRPr="00625F76">
        <w:rPr>
          <w:bCs/>
          <w:sz w:val="25"/>
          <w:szCs w:val="25"/>
        </w:rPr>
        <w:t xml:space="preserve"> </w:t>
      </w:r>
    </w:p>
    <w:p w14:paraId="558404AB" w14:textId="1F03458E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2.2.1. Критерии стратегического аудита обеспечивают контекст для оценки аудиторских доказательств</w:t>
      </w:r>
      <w:r w:rsidR="00AA5A66">
        <w:rPr>
          <w:bCs/>
          <w:sz w:val="25"/>
          <w:szCs w:val="25"/>
        </w:rPr>
        <w:t xml:space="preserve"> (</w:t>
      </w:r>
      <w:r w:rsidR="00E51957">
        <w:rPr>
          <w:bCs/>
          <w:sz w:val="25"/>
          <w:szCs w:val="25"/>
        </w:rPr>
        <w:t>полученных в ходе стратегического аудита)</w:t>
      </w:r>
      <w:r w:rsidRPr="00625F76">
        <w:rPr>
          <w:bCs/>
          <w:sz w:val="25"/>
          <w:szCs w:val="25"/>
        </w:rPr>
        <w:t xml:space="preserve"> и понимания результатов, выводов и рекомендаций стратегического аудита. Критерии стратегического аудита могут основываться на нормативных правовых документах, ожидаемых результатах, лучших практиках и иных эталонах для сравнения. Критерии стратегического аудита определяют требуемое состояние или ожидание в отношении аспекта предмета, исследуемого в ходе стратегического аудита. </w:t>
      </w:r>
    </w:p>
    <w:p w14:paraId="48438AF1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2.2.2. Критерии стратегического аудита могут при необходимости предварительно направляться и обсуждаться с представителями объекта стратегического аудита, в целях их более детальной проработки на подготовительном этапе по решению руководителя мероприятия до их включения в программу проведения мероприятия при осуществлении стратегического аудита. </w:t>
      </w:r>
    </w:p>
    <w:p w14:paraId="6236126B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2.2.3. Критерии стратегического аудита формулируются с учетом доступности и возможности (ограничений) применения методов, необходимых для их использования в стратегическом аудите. </w:t>
      </w:r>
    </w:p>
    <w:p w14:paraId="4F6D8F07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Критерии стратегического аудита формулируются в достаточном количестве для каждого вопроса мероприятия с учетом следующих требований: </w:t>
      </w:r>
    </w:p>
    <w:p w14:paraId="3914D88F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уместность - результатом применения уместных критериев стратегического аудита является информация, дающая ответ на вопрос мероприятия или на один из аспектов вопроса мероприятия с учетом цели мероприятия; </w:t>
      </w:r>
    </w:p>
    <w:p w14:paraId="6FC4B7B2" w14:textId="1CFA0272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полнота - критерии стратегического аудита являются полными, если информация, подготовленная в соответствии с такими критериями, отражает все важные факторы, которые могли бы повлиять на решения, принимаемые должностными лицами </w:t>
      </w:r>
      <w:r w:rsidR="00517FC3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 на основе такой информации. Полнота критериев стратегического аудита подразумевает наличие при необходимости контрольных количественных или качественных показателей, характеризующих полное раскрытие информации об исследуемом предмете (аспекте предмета); </w:t>
      </w:r>
    </w:p>
    <w:p w14:paraId="622CB463" w14:textId="157B0E66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надежность - надежными считаются критерии стратегического аудита, которые при применении в аналогичных обстоятельствах разными должностными лицами </w:t>
      </w:r>
      <w:r w:rsidR="00517FC3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 позволяют выполнить последовательную оценку или измерение оцениваемого аспекта предмета стратегического аудита, включая при необходимости предоставление и раскрытие используемой информации; </w:t>
      </w:r>
    </w:p>
    <w:p w14:paraId="6811208A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нейтральность - результатом применения нейтральных критериев стратегического аудита является получение непредвзятой информации; </w:t>
      </w:r>
    </w:p>
    <w:p w14:paraId="741A4185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lastRenderedPageBreak/>
        <w:t xml:space="preserve">понятность - результатом применения понятных критериев стратегического аудита является получение информации, на основе которой делается суждение, доступное для понимания. </w:t>
      </w:r>
    </w:p>
    <w:p w14:paraId="2E508108" w14:textId="514EBA70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2.2.4. При проведении стратегического аудита применяются следующие виды критериев</w:t>
      </w:r>
      <w:r w:rsidR="00517FC3">
        <w:rPr>
          <w:bCs/>
          <w:sz w:val="25"/>
          <w:szCs w:val="25"/>
        </w:rPr>
        <w:t xml:space="preserve"> (или один из них)</w:t>
      </w:r>
      <w:r w:rsidRPr="00625F76">
        <w:rPr>
          <w:bCs/>
          <w:sz w:val="25"/>
          <w:szCs w:val="25"/>
        </w:rPr>
        <w:t xml:space="preserve">. </w:t>
      </w:r>
    </w:p>
    <w:p w14:paraId="0CCF407B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стратегической результативности </w:t>
      </w:r>
      <w:r w:rsidRPr="00625F76">
        <w:rPr>
          <w:bCs/>
          <w:sz w:val="25"/>
          <w:szCs w:val="25"/>
        </w:rPr>
        <w:t xml:space="preserve">определяют степень достижения (достижимости) непосредственных и конечных результатов, наличие логики достижения непосредственных и конечных результатов, значимость конечных результатов для целевых групп вследствие создания и функционирования соответствующих непосредственных результатов. При этом могут определяться полнота непосредственных и конечных результатов, достаточность их перечня, хронология (своевременность) получения, риски и возможности получения. </w:t>
      </w:r>
    </w:p>
    <w:p w14:paraId="05E96AB4" w14:textId="4C4F5A45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релевантности (актуальности) </w:t>
      </w:r>
      <w:r w:rsidRPr="00625F76">
        <w:rPr>
          <w:bCs/>
          <w:sz w:val="25"/>
          <w:szCs w:val="25"/>
        </w:rPr>
        <w:t xml:space="preserve">отражают, в какой степени непосредственные, конечные результаты программ, итоговые эффекты актуальны для достижения стратегических целей, удовлетворения потребностей, интересов и целей выгодоприобретателей, сохраняется ли соответствие приоритетам при изменении обстоятельств (гибкость и актуализация прямого </w:t>
      </w:r>
      <w:r w:rsidR="002F4C01">
        <w:rPr>
          <w:bCs/>
          <w:sz w:val="25"/>
          <w:szCs w:val="25"/>
        </w:rPr>
        <w:t>государственного (</w:t>
      </w:r>
      <w:r w:rsidR="00517FC3">
        <w:rPr>
          <w:bCs/>
          <w:sz w:val="25"/>
          <w:szCs w:val="25"/>
        </w:rPr>
        <w:t>муниципального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воздействия в части адаптации к существенным изменениям внешней среды). </w:t>
      </w:r>
    </w:p>
    <w:p w14:paraId="66AF41D2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обоснованности (доказательности) </w:t>
      </w:r>
      <w:r w:rsidRPr="00625F76">
        <w:rPr>
          <w:bCs/>
          <w:sz w:val="25"/>
          <w:szCs w:val="25"/>
        </w:rPr>
        <w:t xml:space="preserve">отражают, в какой степени и каким образом обосновано достижение целевых параметров стратегических целей, включая описание причин выбранных подходов к обоснованиям, описание предположений, источников данных, результатов анализа, иных способов проверки и подтверждения обоснований (доказательств). </w:t>
      </w:r>
    </w:p>
    <w:p w14:paraId="6C7D0B99" w14:textId="20AD7C0E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согласованности </w:t>
      </w:r>
      <w:r w:rsidRPr="00625F76">
        <w:rPr>
          <w:bCs/>
          <w:sz w:val="25"/>
          <w:szCs w:val="25"/>
        </w:rPr>
        <w:t xml:space="preserve">отражают уровень комплексности и взаимной непротиворечивости (взаимодополняемости) программ и прямых </w:t>
      </w:r>
      <w:r w:rsidR="002F4C01">
        <w:rPr>
          <w:bCs/>
          <w:sz w:val="25"/>
          <w:szCs w:val="25"/>
        </w:rPr>
        <w:t>государственных (</w:t>
      </w:r>
      <w:r w:rsidR="00517FC3">
        <w:rPr>
          <w:bCs/>
          <w:sz w:val="25"/>
          <w:szCs w:val="25"/>
        </w:rPr>
        <w:t>муниципальных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воздействий, осуществляемых различными участниками стратегического управления, степень скоординированности и сотрудничества по достижению стратегических целей. </w:t>
      </w:r>
    </w:p>
    <w:p w14:paraId="7F9BD962" w14:textId="53FAE9D4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охвата (масштаба) </w:t>
      </w:r>
      <w:r w:rsidRPr="00625F76">
        <w:rPr>
          <w:bCs/>
          <w:sz w:val="25"/>
          <w:szCs w:val="25"/>
        </w:rPr>
        <w:t>отражают степень распространенности непосредственных и конечных результатов, итоговых эффектов программ и прямого</w:t>
      </w:r>
      <w:r w:rsidR="002F4C01">
        <w:rPr>
          <w:bCs/>
          <w:sz w:val="25"/>
          <w:szCs w:val="25"/>
        </w:rPr>
        <w:t xml:space="preserve"> государственного</w:t>
      </w:r>
      <w:r w:rsidRPr="00625F76">
        <w:rPr>
          <w:bCs/>
          <w:sz w:val="25"/>
          <w:szCs w:val="25"/>
        </w:rPr>
        <w:t xml:space="preserve"> </w:t>
      </w:r>
      <w:r w:rsidR="002F4C01">
        <w:rPr>
          <w:bCs/>
          <w:sz w:val="25"/>
          <w:szCs w:val="25"/>
        </w:rPr>
        <w:t>(</w:t>
      </w:r>
      <w:r w:rsidR="00517FC3">
        <w:rPr>
          <w:bCs/>
          <w:sz w:val="25"/>
          <w:szCs w:val="25"/>
        </w:rPr>
        <w:t>муниципального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воздействия с точки зрения территориального охвата, охвата различных целевых групп, охвата групп выгодоприобретателей и так далее. </w:t>
      </w:r>
    </w:p>
    <w:p w14:paraId="18EF7C0A" w14:textId="5B23BE6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влияния (вклада) </w:t>
      </w:r>
      <w:r w:rsidRPr="00625F76">
        <w:rPr>
          <w:bCs/>
          <w:sz w:val="25"/>
          <w:szCs w:val="25"/>
        </w:rPr>
        <w:t>отражают степень, в которой программа и (или) прямое</w:t>
      </w:r>
      <w:r w:rsidR="002F4C01">
        <w:rPr>
          <w:bCs/>
          <w:sz w:val="25"/>
          <w:szCs w:val="25"/>
        </w:rPr>
        <w:t xml:space="preserve"> государственное</w:t>
      </w:r>
      <w:r w:rsidRPr="00625F76">
        <w:rPr>
          <w:bCs/>
          <w:sz w:val="25"/>
          <w:szCs w:val="25"/>
        </w:rPr>
        <w:t xml:space="preserve"> </w:t>
      </w:r>
      <w:r w:rsidR="002F4C01">
        <w:rPr>
          <w:bCs/>
          <w:sz w:val="25"/>
          <w:szCs w:val="25"/>
        </w:rPr>
        <w:t>(</w:t>
      </w:r>
      <w:r w:rsidR="00517FC3">
        <w:rPr>
          <w:bCs/>
          <w:sz w:val="25"/>
          <w:szCs w:val="25"/>
        </w:rPr>
        <w:t>муниципальное</w:t>
      </w:r>
      <w:r w:rsidR="002F4C01">
        <w:rPr>
          <w:bCs/>
          <w:sz w:val="25"/>
          <w:szCs w:val="25"/>
        </w:rPr>
        <w:t>)</w:t>
      </w:r>
      <w:r w:rsidRPr="00625F76">
        <w:rPr>
          <w:bCs/>
          <w:sz w:val="25"/>
          <w:szCs w:val="25"/>
        </w:rPr>
        <w:t xml:space="preserve"> воздействие явились причиной или, как ожидается, послужат причиной значительных системных (структурных) социально-экономических последствий (эффектов). Такие критерии отражают причинно-следственные связи (трансформационные механизмы) программы, включая выявление социальных, экологических и экономических и иных последствий, которые являются более долгосрочными или более широкими по своему охвату, чем те, которые отражаются в критерии стратегической результативности. Критерии влияния предполагают описание целостных и устойчивых изменений в системах или нормах. </w:t>
      </w:r>
    </w:p>
    <w:p w14:paraId="367653CA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i/>
          <w:iCs/>
          <w:sz w:val="25"/>
          <w:szCs w:val="25"/>
        </w:rPr>
        <w:t xml:space="preserve">Критерии устойчивости </w:t>
      </w:r>
      <w:r w:rsidRPr="00625F76">
        <w:rPr>
          <w:bCs/>
          <w:sz w:val="25"/>
          <w:szCs w:val="25"/>
        </w:rPr>
        <w:t xml:space="preserve">отражают степень, в которой достигнутые или ожидаемые конечные результаты и итоговые эффекты длятся или, как ожидается, будут длиться в долгосрочном периоде. Критерий устойчивости направлен на оценку финансового, экономического, социального, экологического и институционального потенциала устойчивости соответствующих результатов и эффектов, необходимого для поддержания и сохранения достигнутых положительных преобразований с течением времени. </w:t>
      </w:r>
    </w:p>
    <w:p w14:paraId="456C22F7" w14:textId="77777777" w:rsidR="00903122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2.3. Существенность в стратегическом аудите</w:t>
      </w:r>
      <w:r w:rsidR="001E1C18">
        <w:rPr>
          <w:bCs/>
          <w:sz w:val="25"/>
          <w:szCs w:val="25"/>
        </w:rPr>
        <w:t>.</w:t>
      </w:r>
      <w:r w:rsidRPr="00625F76">
        <w:rPr>
          <w:bCs/>
          <w:sz w:val="25"/>
          <w:szCs w:val="25"/>
        </w:rPr>
        <w:t xml:space="preserve"> </w:t>
      </w:r>
    </w:p>
    <w:p w14:paraId="2A24CF30" w14:textId="3C207D1A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lastRenderedPageBreak/>
        <w:t xml:space="preserve">2.3.1. Существенность для целей стратегического аудита — это уровень важности и значительности вопросов, выводов, результатов, а также включаемых в итоговые документы по результатам мероприятия рекомендаций. </w:t>
      </w:r>
    </w:p>
    <w:p w14:paraId="612D2A58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2.3.2. Результаты и выводы считаются существенными, если они соответственно по отдельности или в совокупности могут оказать влияние на принятие конкретных управленческих решений или изменение процедур их принятия. </w:t>
      </w:r>
    </w:p>
    <w:p w14:paraId="1CBE5DDE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2.3.3. Существенность рекомендаций, выдаваемых объектам стратегического аудита и иным заинтересованным органам и организациям по итогам мероприятий, определяет востребованность, а также вероятность их практического применения адресатом в работе, в том числе предполагающего изменение конкретных управленческих решений или процедур их принятия. </w:t>
      </w:r>
    </w:p>
    <w:p w14:paraId="4E23D6B4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2.3.4. Повышенное внимание к существенности является одним из приоритетов мероприятия при осуществлении стратегического аудита на всех его этапах. Применение существенности позволяет делать взвешенные выводы с учетом особенностей социальных и политических аспектов предмета стратегического аудита, определения целей и вопросов стратегического аудита, критериев, оценки документации, аудиторских доказательств, управления рисками, связанными с получением неуместных или незначимых результатов, документирования результатов и формулирования выводов и рекомендаций. </w:t>
      </w:r>
    </w:p>
    <w:p w14:paraId="2EFB3BA0" w14:textId="27E0A8DC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2.3.5. Существенность в стратегическом аудите может содержать количественные и качественные аспекты. К количественным аспектам могут относиться, например, вопросы соотношения ожидаемых результатов от реализации рекомендаций и затрат на их реализацию. К качественным аспектам существенности могут относиться, например, вопросы потенциальной социально-экономической значимости для целевых групп. </w:t>
      </w:r>
    </w:p>
    <w:p w14:paraId="772B2417" w14:textId="33DE2B85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2.4. Аудиторские доказательства</w:t>
      </w:r>
      <w:r w:rsidR="001E1C18">
        <w:rPr>
          <w:bCs/>
          <w:sz w:val="25"/>
          <w:szCs w:val="25"/>
        </w:rPr>
        <w:t>.</w:t>
      </w:r>
      <w:r w:rsidRPr="00625F76">
        <w:rPr>
          <w:bCs/>
          <w:sz w:val="25"/>
          <w:szCs w:val="25"/>
        </w:rPr>
        <w:t xml:space="preserve"> </w:t>
      </w:r>
    </w:p>
    <w:p w14:paraId="4D1484AF" w14:textId="18112CD2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2.4.1. Для достижения целей стратегического аудита, а также для подтверждения выводов и рекомендаций необходимо получить достаточные и надлежащие аудиторские доказательства с учетом положений стандартов </w:t>
      </w:r>
      <w:r w:rsidR="001E1C18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 «Общие правила проведения контрольного мероприятия», «Общие правила проведения экспертно-аналитического мероприятия</w:t>
      </w:r>
      <w:r w:rsidR="001E1C18">
        <w:rPr>
          <w:bCs/>
          <w:sz w:val="25"/>
          <w:szCs w:val="25"/>
        </w:rPr>
        <w:t>»</w:t>
      </w:r>
      <w:r w:rsidRPr="00625F76">
        <w:rPr>
          <w:bCs/>
          <w:sz w:val="25"/>
          <w:szCs w:val="25"/>
        </w:rPr>
        <w:t xml:space="preserve">. </w:t>
      </w:r>
    </w:p>
    <w:p w14:paraId="27331102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2.4.2. При оценке достаточности доказательств могут быть использованы следующие подходы: </w:t>
      </w:r>
    </w:p>
    <w:p w14:paraId="6D202EA0" w14:textId="73C54B60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чем выше аудиторский риск</w:t>
      </w:r>
      <w:r w:rsidR="001E1C18">
        <w:rPr>
          <w:rStyle w:val="aff7"/>
          <w:bCs/>
          <w:szCs w:val="25"/>
        </w:rPr>
        <w:footnoteReference w:id="1"/>
      </w:r>
      <w:r w:rsidRPr="00625F76">
        <w:rPr>
          <w:bCs/>
          <w:sz w:val="25"/>
          <w:szCs w:val="25"/>
        </w:rPr>
        <w:t xml:space="preserve">, тем выше требования к количеству (достаточность) и качеству (насколько </w:t>
      </w:r>
      <w:r w:rsidRPr="006B35CC">
        <w:rPr>
          <w:bCs/>
          <w:sz w:val="25"/>
          <w:szCs w:val="25"/>
        </w:rPr>
        <w:t>являются надлежащими) доказательств;</w:t>
      </w:r>
      <w:r w:rsidRPr="00625F76">
        <w:rPr>
          <w:bCs/>
          <w:sz w:val="25"/>
          <w:szCs w:val="25"/>
        </w:rPr>
        <w:t xml:space="preserve"> </w:t>
      </w:r>
    </w:p>
    <w:p w14:paraId="55934592" w14:textId="73719B66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наличие большого количества аудиторских доказательств не компенсирует недостаток уместности</w:t>
      </w:r>
      <w:r w:rsidR="006B35CC">
        <w:rPr>
          <w:rStyle w:val="aff7"/>
          <w:bCs/>
          <w:szCs w:val="25"/>
        </w:rPr>
        <w:footnoteReference w:id="2"/>
      </w:r>
      <w:r w:rsidRPr="00625F76">
        <w:rPr>
          <w:bCs/>
          <w:sz w:val="25"/>
          <w:szCs w:val="25"/>
        </w:rPr>
        <w:t>, валидности</w:t>
      </w:r>
      <w:r w:rsidR="006B35CC">
        <w:rPr>
          <w:rStyle w:val="aff7"/>
          <w:bCs/>
          <w:szCs w:val="25"/>
        </w:rPr>
        <w:footnoteReference w:id="3"/>
      </w:r>
      <w:r w:rsidRPr="00625F76">
        <w:rPr>
          <w:bCs/>
          <w:sz w:val="25"/>
          <w:szCs w:val="25"/>
        </w:rPr>
        <w:t xml:space="preserve"> или надежности</w:t>
      </w:r>
      <w:r w:rsidR="006B35CC">
        <w:rPr>
          <w:rStyle w:val="aff7"/>
          <w:bCs/>
          <w:szCs w:val="25"/>
        </w:rPr>
        <w:footnoteReference w:id="4"/>
      </w:r>
      <w:r w:rsidRPr="00625F76">
        <w:rPr>
          <w:bCs/>
          <w:sz w:val="25"/>
          <w:szCs w:val="25"/>
        </w:rPr>
        <w:t xml:space="preserve">; </w:t>
      </w:r>
    </w:p>
    <w:p w14:paraId="0DE0CCA1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обычно требуется больше аудиторских доказательств, когда представители объекта стратегического аудита имеют другое (отличное от мнения должностных лиц Контрольно-счетной палаты) мнение. </w:t>
      </w:r>
    </w:p>
    <w:p w14:paraId="0417071F" w14:textId="3870FA5E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2.5. Оценка рисков</w:t>
      </w:r>
      <w:r w:rsidR="006B35CC">
        <w:rPr>
          <w:bCs/>
          <w:sz w:val="25"/>
          <w:szCs w:val="25"/>
        </w:rPr>
        <w:t>.</w:t>
      </w:r>
      <w:r w:rsidRPr="00625F76">
        <w:rPr>
          <w:bCs/>
          <w:sz w:val="25"/>
          <w:szCs w:val="25"/>
        </w:rPr>
        <w:t xml:space="preserve"> </w:t>
      </w:r>
    </w:p>
    <w:p w14:paraId="0278E072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2.5.1. Оценка рисков достижения стратегических целей, предусмотренных программами, может рассматриваться в качестве одной из целей стратегического аудита. </w:t>
      </w:r>
    </w:p>
    <w:p w14:paraId="72472105" w14:textId="6BF678D6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lastRenderedPageBreak/>
        <w:t xml:space="preserve">Оценка рисков в рамках стратегического аудита осуществляется в соответствии с положениями концепции риск-ориентированного подхода в </w:t>
      </w:r>
      <w:r w:rsidR="006B35CC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, применяемыми при подготовке и проведении мероприятий. </w:t>
      </w:r>
    </w:p>
    <w:p w14:paraId="2DCAB215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2.5.2. Под риском в рамках Стандарта понимается влияние неопределенности на достижение стратегических целей. </w:t>
      </w:r>
    </w:p>
    <w:p w14:paraId="541EA45F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2.5.3. Целями оценки рисков являются: </w:t>
      </w:r>
    </w:p>
    <w:p w14:paraId="02D91388" w14:textId="17E4F28A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выявление потенциальных областей, ситуаций, препятствующих достижению стратегических целей;</w:t>
      </w:r>
    </w:p>
    <w:p w14:paraId="5CCEFD28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определение рисков и анализ тех, которые являются наиболее важными и критичными для достижения стратегических целей; </w:t>
      </w:r>
    </w:p>
    <w:p w14:paraId="0BD2BC95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выявление наличия системы управления рисками у объекта стратегического аудита (контроля) и проведение первоначальной оценки уровня зрелости системы управления рисками объекта стратегического аудита (контроля), формирование рекомендаций по созданию, совершенствованию системы управления рисками объекта стратегического аудита (контроля); </w:t>
      </w:r>
    </w:p>
    <w:p w14:paraId="2E994A77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анализ того, какие мероприятия планирует, осуществляет объект стратегического аудита для минимизации рисков, формирование рекомендаций по совершенствованию, выработке мер по уменьшению рисков. </w:t>
      </w:r>
    </w:p>
    <w:p w14:paraId="49CA82C2" w14:textId="45395ECA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2.6. Формы и подходы проведения стратегического аудита </w:t>
      </w:r>
    </w:p>
    <w:p w14:paraId="790729E9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2.6.1. Стратегический аудит может осуществляться как в качестве отдельного контрольного или экспертно-аналитического мероприятия, так и в ходе контрольного или экспертно-аналитического мероприятия, одним из вопросов программы которого является осуществление стратегического аудита. </w:t>
      </w:r>
    </w:p>
    <w:p w14:paraId="22DFBCE4" w14:textId="771026D8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2.6.2. Формы и методы осуществления </w:t>
      </w:r>
      <w:r w:rsidR="00231997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 стратегического аудита определяются </w:t>
      </w:r>
      <w:r w:rsidR="00231997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 самостоятельно. </w:t>
      </w:r>
    </w:p>
    <w:p w14:paraId="7C5E4A5F" w14:textId="4FB665A0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При осуществлении стратегического аудита могут применяться такие методы </w:t>
      </w:r>
      <w:r w:rsidR="00231997">
        <w:rPr>
          <w:bCs/>
          <w:sz w:val="25"/>
          <w:szCs w:val="25"/>
        </w:rPr>
        <w:t>муниципального</w:t>
      </w:r>
      <w:r w:rsidRPr="00625F76">
        <w:rPr>
          <w:bCs/>
          <w:sz w:val="25"/>
          <w:szCs w:val="25"/>
        </w:rPr>
        <w:t xml:space="preserve"> финансового контроля как проверка, ревизия, обследование, конкретное сочетание которых зависит от целей мероприятия. </w:t>
      </w:r>
    </w:p>
    <w:p w14:paraId="48580CA8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2.6.3. При осуществлении стратегического аудита может проводиться: </w:t>
      </w:r>
    </w:p>
    <w:p w14:paraId="74EA6377" w14:textId="20E1905E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- оценка реализуемости стратегических целей, достижение которых предусматривается соответствующими программами (на стадиях разработки или реализации программ). При этом могут учитываться результаты экспертиз, проводимых </w:t>
      </w:r>
      <w:r w:rsidR="00231997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, оценка запланированных или реализующихся мер прямого государственного </w:t>
      </w:r>
      <w:r w:rsidR="002F4C01">
        <w:rPr>
          <w:bCs/>
          <w:sz w:val="25"/>
          <w:szCs w:val="25"/>
        </w:rPr>
        <w:t xml:space="preserve">(муниципального) </w:t>
      </w:r>
      <w:r w:rsidRPr="00625F76">
        <w:rPr>
          <w:bCs/>
          <w:sz w:val="25"/>
          <w:szCs w:val="25"/>
        </w:rPr>
        <w:t xml:space="preserve">воздействия; </w:t>
      </w:r>
    </w:p>
    <w:p w14:paraId="5EF6D5A6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- контроль и оценка текущего достижения стратегических целей, мониторинг рисков и факторов их реализации для формирования оперативного прогноза влияния внутренних и внешних условий, в том числе рисков, на достижение стратегических целей программ (в ходе мониторинга реализации программ); </w:t>
      </w:r>
    </w:p>
    <w:p w14:paraId="3E6F203D" w14:textId="76CDA429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- контроль и оценка результативности достижения стратегических целей посредством проверки и анализа фактического уровня достижения целевых значений показателей (индикаторов) соответствующих программ, оценки итоговых эффектов от реализации стратегических целей, в том числе с учетом фактических непосредственных и конечных результатов прямого </w:t>
      </w:r>
      <w:r w:rsidR="002F4C01">
        <w:rPr>
          <w:bCs/>
          <w:sz w:val="25"/>
          <w:szCs w:val="25"/>
        </w:rPr>
        <w:t>государственного (</w:t>
      </w:r>
      <w:r w:rsidR="00F47857">
        <w:rPr>
          <w:bCs/>
          <w:sz w:val="25"/>
          <w:szCs w:val="25"/>
        </w:rPr>
        <w:t>муниципального</w:t>
      </w:r>
      <w:r w:rsidR="002F4C01">
        <w:rPr>
          <w:bCs/>
          <w:sz w:val="25"/>
          <w:szCs w:val="25"/>
        </w:rPr>
        <w:t>)</w:t>
      </w:r>
      <w:r w:rsidR="00F47857">
        <w:rPr>
          <w:bCs/>
          <w:sz w:val="25"/>
          <w:szCs w:val="25"/>
        </w:rPr>
        <w:t xml:space="preserve"> </w:t>
      </w:r>
      <w:r w:rsidRPr="00625F76">
        <w:rPr>
          <w:bCs/>
          <w:sz w:val="25"/>
          <w:szCs w:val="25"/>
        </w:rPr>
        <w:t xml:space="preserve">воздействия, иных внешних и внутренних факторов и условий. </w:t>
      </w:r>
    </w:p>
    <w:p w14:paraId="4834A352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2.6.4. Стратегический аудит может проводиться в рамках одного или нескольких следующих подходов: </w:t>
      </w:r>
    </w:p>
    <w:p w14:paraId="7ECE8FFE" w14:textId="67A89F1B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1) системно-ориентированный подход, в рамках которого анализируется надлежащее функционирование различных систем управления или элементов соответствующих систем, обеспечивающих соответствие предмета стратегического аудита установленным критериям (например, систем мониторинга показателей и оценки </w:t>
      </w:r>
      <w:r w:rsidRPr="00625F76">
        <w:rPr>
          <w:bCs/>
          <w:sz w:val="25"/>
          <w:szCs w:val="25"/>
        </w:rPr>
        <w:lastRenderedPageBreak/>
        <w:t xml:space="preserve">эффективности (результативности), системы управления рисками, проектной деятельности и так далее); </w:t>
      </w:r>
    </w:p>
    <w:p w14:paraId="557707E5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2) проблемно-ориентированный подход, в рамках которого анализируется наличие проблем (предполагаемых отклонений от критериев), устанавливаются соответствующие причины их возникновения, формулируются рекомендации, направленные на устранение причин возникновения данных проблем; </w:t>
      </w:r>
    </w:p>
    <w:p w14:paraId="5276C983" w14:textId="7777777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3) результат-ориентированный подход, в рамках которого анализируются фактические или ожидаемые непосредственные или конечные результаты на основе установления критериев и отклонений от них и формулируются рекомендации, направленные на то, чтобы подобные отклонения были исключены. </w:t>
      </w:r>
    </w:p>
    <w:p w14:paraId="321D80F4" w14:textId="1949FB15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2.6.5. В случае необходимости к участию в проведении мероприятий при осуществлении стратегического аудита могут привлекаться внешние эксперты на основе заключенных соглашений о сотрудничестве и взаимодействии с учетом положений Регламента </w:t>
      </w:r>
      <w:r w:rsidR="00F47857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, регулирующих порядок привлечения к участию в проводимых </w:t>
      </w:r>
      <w:r w:rsidR="00F47857">
        <w:rPr>
          <w:bCs/>
          <w:sz w:val="25"/>
          <w:szCs w:val="25"/>
        </w:rPr>
        <w:t>КСП СГО</w:t>
      </w:r>
      <w:r w:rsidRPr="00625F76">
        <w:rPr>
          <w:bCs/>
          <w:sz w:val="25"/>
          <w:szCs w:val="25"/>
        </w:rPr>
        <w:t xml:space="preserve"> мероприятиях контрольных, правоохранительных и иных органов и их представителей, а также на договорной основе аудиторские, научно-исследовательские, экспертные и иные учреждения и организации, отдельные специалисты, эксперты, переводчики. </w:t>
      </w:r>
    </w:p>
    <w:p w14:paraId="30E8ECBB" w14:textId="43F882D7" w:rsidR="00625F76" w:rsidRP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 xml:space="preserve">Привлекаемые к участию в осуществлении стратегического аудита внешние эксперты в целях недопущения возникновения конфликта интересов должны руководствоваться </w:t>
      </w:r>
      <w:r w:rsidR="00FB0DB3">
        <w:rPr>
          <w:bCs/>
          <w:sz w:val="25"/>
          <w:szCs w:val="25"/>
        </w:rPr>
        <w:t>К</w:t>
      </w:r>
      <w:r w:rsidRPr="00625F76">
        <w:rPr>
          <w:bCs/>
          <w:sz w:val="25"/>
          <w:szCs w:val="25"/>
        </w:rPr>
        <w:t>одексом этики и служебного поведения работников контрольно-счетных органов субъектов Российской Федерации</w:t>
      </w:r>
      <w:r w:rsidR="00F47857">
        <w:rPr>
          <w:rStyle w:val="aff7"/>
          <w:bCs/>
          <w:szCs w:val="25"/>
        </w:rPr>
        <w:footnoteReference w:id="5"/>
      </w:r>
      <w:r w:rsidRPr="00625F76">
        <w:rPr>
          <w:bCs/>
          <w:sz w:val="25"/>
          <w:szCs w:val="25"/>
        </w:rPr>
        <w:t xml:space="preserve"> и не должны состоять в родственных отношениях с должностными лицами </w:t>
      </w:r>
      <w:r w:rsidR="00F47857">
        <w:rPr>
          <w:bCs/>
          <w:sz w:val="25"/>
          <w:szCs w:val="25"/>
        </w:rPr>
        <w:t>КСП</w:t>
      </w:r>
      <w:r w:rsidRPr="00625F76">
        <w:rPr>
          <w:bCs/>
          <w:sz w:val="25"/>
          <w:szCs w:val="25"/>
        </w:rPr>
        <w:t xml:space="preserve">, объекта (объектов) стратегического аудита. </w:t>
      </w:r>
    </w:p>
    <w:p w14:paraId="38155523" w14:textId="72CE7E79" w:rsidR="00625F76" w:rsidRDefault="00625F76" w:rsidP="00E60F7F">
      <w:pPr>
        <w:spacing w:line="240" w:lineRule="auto"/>
        <w:contextualSpacing/>
        <w:rPr>
          <w:bCs/>
          <w:sz w:val="25"/>
          <w:szCs w:val="25"/>
        </w:rPr>
      </w:pPr>
      <w:r w:rsidRPr="00625F76">
        <w:rPr>
          <w:bCs/>
          <w:sz w:val="25"/>
          <w:szCs w:val="25"/>
        </w:rPr>
        <w:t>2.6.6. Организация и проведение мероприятий при осуществлении стратегического аудита проводится в три этапа: подготовительный этап, основной этап, заключительный этап.</w:t>
      </w:r>
    </w:p>
    <w:p w14:paraId="501C786B" w14:textId="77777777" w:rsidR="00625F76" w:rsidRPr="00A4483A" w:rsidRDefault="00625F76" w:rsidP="00E60F7F">
      <w:pPr>
        <w:spacing w:line="240" w:lineRule="auto"/>
        <w:ind w:firstLine="567"/>
        <w:contextualSpacing/>
        <w:rPr>
          <w:bCs/>
          <w:sz w:val="25"/>
          <w:szCs w:val="25"/>
        </w:rPr>
      </w:pPr>
    </w:p>
    <w:p w14:paraId="6FD1967F" w14:textId="41C2D254" w:rsidR="004F11B8" w:rsidRPr="00A4483A" w:rsidRDefault="004F11B8" w:rsidP="00E60F7F">
      <w:pPr>
        <w:pStyle w:val="2"/>
        <w:rPr>
          <w:b w:val="0"/>
          <w:sz w:val="25"/>
          <w:szCs w:val="25"/>
        </w:rPr>
      </w:pPr>
      <w:bookmarkStart w:id="5" w:name="_Toc222486192"/>
      <w:r w:rsidRPr="00A4483A">
        <w:rPr>
          <w:sz w:val="25"/>
          <w:szCs w:val="25"/>
        </w:rPr>
        <w:t xml:space="preserve">3. </w:t>
      </w:r>
      <w:r w:rsidR="0083512E" w:rsidRPr="0083512E">
        <w:rPr>
          <w:sz w:val="25"/>
          <w:szCs w:val="25"/>
        </w:rPr>
        <w:t>Подготовительный этап проведения мероприятия при осуществлении стратегического аудита</w:t>
      </w:r>
      <w:bookmarkEnd w:id="5"/>
    </w:p>
    <w:p w14:paraId="30B4623B" w14:textId="77777777" w:rsidR="0085387E" w:rsidRDefault="0085387E" w:rsidP="00E60F7F">
      <w:pPr>
        <w:spacing w:line="240" w:lineRule="auto"/>
        <w:contextualSpacing/>
        <w:rPr>
          <w:sz w:val="25"/>
          <w:szCs w:val="25"/>
        </w:rPr>
      </w:pPr>
    </w:p>
    <w:p w14:paraId="2EF1B9A0" w14:textId="2C0B507C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>3.1. Предварительное исследование на подготовительном этапе помогает определить наиболее ценную информацию и имеющиеся данные о предмете стратегического аудита и его аспектах, подобрать необходимые методы для анализа, тем самым оптимизировать границы и объем аудиторских процедур</w:t>
      </w:r>
      <w:r>
        <w:rPr>
          <w:rStyle w:val="aff7"/>
          <w:szCs w:val="25"/>
        </w:rPr>
        <w:footnoteReference w:id="6"/>
      </w:r>
      <w:r w:rsidRPr="0085387E">
        <w:rPr>
          <w:sz w:val="25"/>
          <w:szCs w:val="25"/>
        </w:rPr>
        <w:t xml:space="preserve">. По итогам предварительного исследования могут составляться карты данных и матрица подготовительного этапа стратегического аудита (далее - матрица дизайна), где определяются в том числе цели, вопросы и критерии стратегического аудита, методы (количественные, качественные), ограничения, ожидаемые результаты стратегического аудита, предварительные выводы и рекомендации. Для удобства указанные элементы рекомендуется систематизировать в табличной форме в виде матрицы дизайна стратегического аудита, которая включается в рабочую документацию (приложение </w:t>
      </w:r>
      <w:r w:rsidR="00E60F7F">
        <w:rPr>
          <w:sz w:val="25"/>
          <w:szCs w:val="25"/>
        </w:rPr>
        <w:t>1</w:t>
      </w:r>
      <w:r w:rsidRPr="0085387E">
        <w:rPr>
          <w:sz w:val="25"/>
          <w:szCs w:val="25"/>
        </w:rPr>
        <w:t xml:space="preserve"> к Стандарту). </w:t>
      </w:r>
    </w:p>
    <w:p w14:paraId="0A6AF75C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3.2. Надлежащая матрица дизайна отвечает следующим требованиям: </w:t>
      </w:r>
    </w:p>
    <w:p w14:paraId="74C57FF4" w14:textId="77777777" w:rsid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>позволяет полно раскрывать поставленные вопросы в контексте проведения стратегического аудита, принимать во внимание возможные ограничения методов и данных;</w:t>
      </w:r>
    </w:p>
    <w:p w14:paraId="5222BD80" w14:textId="038DDF8B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lastRenderedPageBreak/>
        <w:t xml:space="preserve">соответствует требованиям к точности, полноте и убедительности информации, необходимой для ответа на вопросы стратегического аудита и удовлетворения потребностей пользователей отчета; </w:t>
      </w:r>
    </w:p>
    <w:p w14:paraId="19CCC0C7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вписывается в текущие ограничения по времени, трудовым и иным ресурсам; </w:t>
      </w:r>
    </w:p>
    <w:p w14:paraId="5F0C4DA2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основывается на надежных и достоверных данных (отсутствие систематических ошибок и искажений, способных привести к неточным выводам). </w:t>
      </w:r>
    </w:p>
    <w:p w14:paraId="760B3AA8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3.3. Необходимо провести валидацию (проверку полноты, корректности, логической связанности элементов) матрицы дизайна стратегического аудита. </w:t>
      </w:r>
    </w:p>
    <w:p w14:paraId="27D63412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Особое значение на этом этапе имеют анализ доступности (включая необходимый формат, состав, уровень агрегации), надежности данных для целей проведения стратегического аудита, уточнение процедур сбора (методологии расчета) и хранения данных в течение периода проведения мероприятия, оценка того, позволяют ли данные и методы их анализа получить ответ, соответствующий вопросу мероприятия, обеспечить необходимый охват предмета мероприятия стратегическим аудитом. </w:t>
      </w:r>
    </w:p>
    <w:p w14:paraId="5F9865E3" w14:textId="16E0B18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>3.4. Уточненная и дополненная по итогам валидации матрица дизайна включается в рабочую документацию, на ее основе разрабатыва</w:t>
      </w:r>
      <w:r>
        <w:rPr>
          <w:sz w:val="25"/>
          <w:szCs w:val="25"/>
        </w:rPr>
        <w:t>е</w:t>
      </w:r>
      <w:r w:rsidRPr="0085387E">
        <w:rPr>
          <w:sz w:val="25"/>
          <w:szCs w:val="25"/>
        </w:rPr>
        <w:t xml:space="preserve">тся программа проведения мероприятия (далее - программа мероприятия). </w:t>
      </w:r>
    </w:p>
    <w:p w14:paraId="2B0FF95B" w14:textId="05321C41" w:rsidR="00CC5E78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3.5. Программа мероприятия является основой, определяющей набор рабочей документации, формируемой в ходе проведения основного этапа, а также при подготовке заключительного этапа и подготовке отчета по результатам стратегического аудита. </w:t>
      </w:r>
      <w:r>
        <w:rPr>
          <w:sz w:val="25"/>
          <w:szCs w:val="25"/>
        </w:rPr>
        <w:t>Ответственный исполнитель</w:t>
      </w:r>
      <w:r w:rsidRPr="0085387E">
        <w:rPr>
          <w:sz w:val="25"/>
          <w:szCs w:val="25"/>
        </w:rPr>
        <w:t xml:space="preserve"> мероприятия в ходе проведения мероприятия проверяет и оценивает соответствие работы, выполняемой должностными лицами </w:t>
      </w:r>
      <w:r>
        <w:rPr>
          <w:sz w:val="25"/>
          <w:szCs w:val="25"/>
        </w:rPr>
        <w:t>КСП СГО</w:t>
      </w:r>
      <w:r w:rsidRPr="0085387E">
        <w:rPr>
          <w:sz w:val="25"/>
          <w:szCs w:val="25"/>
        </w:rPr>
        <w:t xml:space="preserve"> и внешними экспертами (в случае их привлечения), программе мероприятия.</w:t>
      </w:r>
    </w:p>
    <w:p w14:paraId="00297205" w14:textId="77777777" w:rsidR="0085387E" w:rsidRDefault="0085387E" w:rsidP="00E60F7F">
      <w:pPr>
        <w:spacing w:line="240" w:lineRule="auto"/>
        <w:contextualSpacing/>
        <w:rPr>
          <w:sz w:val="25"/>
          <w:szCs w:val="25"/>
        </w:rPr>
      </w:pPr>
    </w:p>
    <w:p w14:paraId="5B492096" w14:textId="597285D4" w:rsidR="00CC5E78" w:rsidRDefault="00CC5E78" w:rsidP="00E60F7F">
      <w:pPr>
        <w:pStyle w:val="2"/>
        <w:rPr>
          <w:bCs/>
          <w:sz w:val="25"/>
        </w:rPr>
      </w:pPr>
      <w:bookmarkStart w:id="6" w:name="_Toc222486193"/>
      <w:r w:rsidRPr="00CC5E78">
        <w:rPr>
          <w:bCs/>
          <w:sz w:val="25"/>
        </w:rPr>
        <w:t xml:space="preserve">4. </w:t>
      </w:r>
      <w:r w:rsidR="0085387E" w:rsidRPr="0085387E">
        <w:rPr>
          <w:bCs/>
          <w:sz w:val="25"/>
        </w:rPr>
        <w:t>Основной этап проведения мероприятия при осуществлении стратегического аудита</w:t>
      </w:r>
      <w:bookmarkEnd w:id="6"/>
      <w:r w:rsidRPr="00CC5E78">
        <w:rPr>
          <w:bCs/>
          <w:sz w:val="25"/>
        </w:rPr>
        <w:t xml:space="preserve"> </w:t>
      </w:r>
    </w:p>
    <w:p w14:paraId="7A7978D8" w14:textId="77777777" w:rsidR="00CC5E78" w:rsidRPr="00CC5E78" w:rsidRDefault="00CC5E78" w:rsidP="00E60F7F">
      <w:pPr>
        <w:spacing w:line="240" w:lineRule="auto"/>
      </w:pPr>
    </w:p>
    <w:p w14:paraId="79382F03" w14:textId="0B6C5521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4.1. В процессе сбора фактических данных и информации на основном этапе, как правило, проводится значительный объем аналитических процедур, изучаются данные и результаты проведенных ранее мероприятий. </w:t>
      </w:r>
    </w:p>
    <w:p w14:paraId="7B708683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4.2. Использование данных из различных источников повышает надежность результатов. С возрастанием сложности вопроса стратегического аудита возрастает потребность в использовании не одного, а нескольких способов (методов) для ответа на него и использовании нескольких источников информации и данных. Для таких ситуаций рекомендуется применять комбинацию из различных методов сбора, анализа, обработки и интерпретации данных (информации) в целях всестороннего независимого подтверждения результатов (метод триангуляции). </w:t>
      </w:r>
    </w:p>
    <w:p w14:paraId="26E55CAF" w14:textId="4DA9CF2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4.3. Результаты и информация, полученные в ходе стратегического аудита, а также сформулированные выводы и рекомендации в разрезе каждого вопроса мероприятия рекомендуется систематизировать в табличной форме в виде матрицы результатов стратегического аудита (далее - матрица результатов), представляющей собой элемент рабочей документации для сбора основных составляющих частей отчета в структурированном виде (приложение </w:t>
      </w:r>
      <w:r w:rsidR="00294FEF">
        <w:rPr>
          <w:sz w:val="25"/>
          <w:szCs w:val="25"/>
        </w:rPr>
        <w:t>2</w:t>
      </w:r>
      <w:r w:rsidRPr="0085387E">
        <w:rPr>
          <w:sz w:val="25"/>
          <w:szCs w:val="25"/>
        </w:rPr>
        <w:t xml:space="preserve"> к Стандарту). </w:t>
      </w:r>
    </w:p>
    <w:p w14:paraId="48215A40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4.4. В ходе проведения стратегического аудита обнаруженные факты сравниваются с выбранными критериями, наблюдаемые различия представляют собой подтвержденные доказательствами результаты. </w:t>
      </w:r>
    </w:p>
    <w:p w14:paraId="42901753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4.5. После характеристики результатов необходимо определить причины и последствия наблюдаемой стратегической результативности (или иного критерия). Как правило, данные процедуры проводятся в завершение основного этапа, но в зависимости </w:t>
      </w:r>
      <w:r w:rsidRPr="0085387E">
        <w:rPr>
          <w:sz w:val="25"/>
          <w:szCs w:val="25"/>
        </w:rPr>
        <w:lastRenderedPageBreak/>
        <w:t xml:space="preserve">от сложности предмета и особенностей получения аудиторских доказательств анализ может проводиться на заключительном этапе. </w:t>
      </w:r>
    </w:p>
    <w:p w14:paraId="2CDBAF55" w14:textId="77777777" w:rsidR="0085387E" w:rsidRPr="0085387E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 xml:space="preserve">4.6. Валидация матрицы результатов проводится по аналогии с валидацией матрицы дизайна стратегического аудита в целях обсуждения основных результатов и выводов, достаточности аудиторских доказательств, адекватности выбранных методов анализа и уместности предложений (рекомендаций). </w:t>
      </w:r>
    </w:p>
    <w:p w14:paraId="1FE48946" w14:textId="02E2241A" w:rsidR="00CC5E78" w:rsidRDefault="0085387E" w:rsidP="00E60F7F">
      <w:pPr>
        <w:spacing w:line="240" w:lineRule="auto"/>
        <w:contextualSpacing/>
        <w:rPr>
          <w:sz w:val="25"/>
          <w:szCs w:val="25"/>
        </w:rPr>
      </w:pPr>
      <w:r w:rsidRPr="0085387E">
        <w:rPr>
          <w:sz w:val="25"/>
          <w:szCs w:val="25"/>
        </w:rPr>
        <w:t>4.7. По результатам основного этапа мероприятия при осуществлении стратегического аудита оформляется акт или заключение соответственно.</w:t>
      </w:r>
    </w:p>
    <w:p w14:paraId="4E43DCAA" w14:textId="77777777" w:rsidR="0085387E" w:rsidRPr="00CC5E78" w:rsidRDefault="0085387E" w:rsidP="00E60F7F">
      <w:pPr>
        <w:spacing w:line="240" w:lineRule="auto"/>
        <w:contextualSpacing/>
        <w:rPr>
          <w:sz w:val="25"/>
          <w:szCs w:val="25"/>
        </w:rPr>
      </w:pPr>
    </w:p>
    <w:p w14:paraId="3D7EA80D" w14:textId="77777777" w:rsidR="00CE677D" w:rsidRDefault="00CC5E78" w:rsidP="00E60F7F">
      <w:pPr>
        <w:pStyle w:val="2"/>
        <w:rPr>
          <w:bCs/>
          <w:sz w:val="25"/>
        </w:rPr>
      </w:pPr>
      <w:bookmarkStart w:id="7" w:name="_Toc222486194"/>
      <w:r w:rsidRPr="00CC5E78">
        <w:rPr>
          <w:bCs/>
          <w:sz w:val="25"/>
        </w:rPr>
        <w:t xml:space="preserve">5. </w:t>
      </w:r>
      <w:r w:rsidR="00CE677D" w:rsidRPr="00CE677D">
        <w:rPr>
          <w:bCs/>
          <w:sz w:val="25"/>
        </w:rPr>
        <w:t>Заключительный этап проведения мероприятия при осуществлении стратегического аудита</w:t>
      </w:r>
      <w:bookmarkEnd w:id="7"/>
    </w:p>
    <w:p w14:paraId="71344D88" w14:textId="606C8030" w:rsidR="00CC5E78" w:rsidRPr="00CC5E78" w:rsidRDefault="00CC5E78" w:rsidP="00E60F7F">
      <w:pPr>
        <w:pStyle w:val="2"/>
        <w:rPr>
          <w:bCs/>
          <w:sz w:val="25"/>
        </w:rPr>
      </w:pPr>
      <w:r w:rsidRPr="00CC5E78">
        <w:rPr>
          <w:bCs/>
          <w:sz w:val="25"/>
        </w:rPr>
        <w:t xml:space="preserve"> </w:t>
      </w:r>
    </w:p>
    <w:p w14:paraId="66CF882E" w14:textId="77777777" w:rsidR="00CE677D" w:rsidRPr="00CE677D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5.1. На заключительном этапе проведения мероприятия при осуществлении стратегического аудита при подготовке заключения (отчета) о результатах мероприятия могут использоваться структура и содержание матрицы результатов, подготовленной на основном этапе. </w:t>
      </w:r>
    </w:p>
    <w:p w14:paraId="5E257C01" w14:textId="0D59823A" w:rsidR="00CE677D" w:rsidRPr="00CE677D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5.2. В заключение (отчет) о результатах мероприятия при осуществлении стратегического аудита рекомендуется включить краткое описание методов на основании подготовленной матрицы дизайна стратегического аудита и матрицы результатов в случае их применения, а также рекомендуется указать, как выполненные аудиторские процедуры позволили достичь цели стратегического аудита, включая описание методов сбора данных, анализа данных, формирования аудиторских доказательств. </w:t>
      </w:r>
    </w:p>
    <w:p w14:paraId="5F132BAC" w14:textId="77777777" w:rsidR="00CE677D" w:rsidRPr="00CE677D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В заключении (отчете) о результатах мероприятия при осуществлении стратегического аудита должны быть дополнительно описаны ограничения и степень неопределенности, связанные с надежностью и достоверностью использованных данных в том случае, если данная информация важна для выводов и рекомендаций и данное описание необходимо, чтобы избежать неверной трактовки содержания отчета его пользователями. </w:t>
      </w:r>
    </w:p>
    <w:p w14:paraId="7D7F423E" w14:textId="77777777" w:rsidR="00CE677D" w:rsidRPr="00CE677D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5.3. Выводы по результатам стратегического аудита представляют большую ценность, если они ведут к системным рекомендациям, убеждающим в необходимости принятия конкретных решений и выполнения действий. </w:t>
      </w:r>
    </w:p>
    <w:p w14:paraId="161D3FC9" w14:textId="77777777" w:rsidR="00CE677D" w:rsidRPr="00CE677D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5.4. Рекомендации по итогам стратегического аудита должны носить системный и приоритетный характер, быть ориентированы на улучшения в конкретной области, быть достаточными для устранения причин и условий выявленных проблем. </w:t>
      </w:r>
    </w:p>
    <w:p w14:paraId="7B24ADD9" w14:textId="77777777" w:rsidR="00CE677D" w:rsidRPr="00CE677D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5.5. Качественные рекомендации являются адресными (адресованы объекту стратегического аудита, иным органам и организациям, обладающим полномочиями принимать решения и действовать), конкретными, реализуемыми, контролируемыми и экономически эффективными. </w:t>
      </w:r>
    </w:p>
    <w:p w14:paraId="014F059B" w14:textId="6384BC96" w:rsidR="00A978A7" w:rsidRDefault="00CE677D" w:rsidP="00E60F7F">
      <w:pPr>
        <w:spacing w:line="240" w:lineRule="auto"/>
        <w:contextualSpacing/>
        <w:rPr>
          <w:sz w:val="25"/>
          <w:szCs w:val="25"/>
        </w:rPr>
      </w:pPr>
      <w:r w:rsidRPr="00CE677D">
        <w:rPr>
          <w:sz w:val="25"/>
          <w:szCs w:val="25"/>
        </w:rPr>
        <w:t xml:space="preserve">5.6. Оформление отчета или заключения по результатам мероприятия осуществляется в соответствии с требованиями </w:t>
      </w:r>
      <w:r>
        <w:rPr>
          <w:sz w:val="25"/>
          <w:szCs w:val="25"/>
        </w:rPr>
        <w:t>Федерального закона № 6-ФЗ</w:t>
      </w:r>
      <w:r w:rsidRPr="00CE677D">
        <w:rPr>
          <w:sz w:val="25"/>
          <w:szCs w:val="25"/>
        </w:rPr>
        <w:t xml:space="preserve">, Регламента </w:t>
      </w:r>
      <w:r>
        <w:rPr>
          <w:sz w:val="25"/>
          <w:szCs w:val="25"/>
        </w:rPr>
        <w:t>КСП СГО</w:t>
      </w:r>
      <w:r w:rsidRPr="00CE677D">
        <w:rPr>
          <w:sz w:val="25"/>
          <w:szCs w:val="25"/>
        </w:rPr>
        <w:t xml:space="preserve">, стандартов </w:t>
      </w:r>
      <w:r>
        <w:rPr>
          <w:sz w:val="25"/>
          <w:szCs w:val="25"/>
        </w:rPr>
        <w:t>КСП СГО</w:t>
      </w:r>
      <w:r w:rsidRPr="00CE677D">
        <w:rPr>
          <w:sz w:val="25"/>
          <w:szCs w:val="25"/>
        </w:rPr>
        <w:t>, устанавливающих структуру, требования к содержанию и форму отчета или заключения.</w:t>
      </w:r>
    </w:p>
    <w:p w14:paraId="3FF3901C" w14:textId="77777777" w:rsidR="00CE677D" w:rsidRDefault="00CE677D" w:rsidP="00E60F7F">
      <w:pPr>
        <w:spacing w:line="240" w:lineRule="auto"/>
        <w:contextualSpacing/>
        <w:rPr>
          <w:sz w:val="25"/>
          <w:szCs w:val="25"/>
        </w:rPr>
      </w:pPr>
    </w:p>
    <w:p w14:paraId="19EBC214" w14:textId="77777777" w:rsidR="00E60F7F" w:rsidRDefault="00E60F7F" w:rsidP="00E60F7F">
      <w:pPr>
        <w:spacing w:line="240" w:lineRule="auto"/>
        <w:contextualSpacing/>
        <w:rPr>
          <w:sz w:val="25"/>
          <w:szCs w:val="25"/>
        </w:rPr>
      </w:pPr>
    </w:p>
    <w:p w14:paraId="6E055683" w14:textId="77777777" w:rsidR="00E60F7F" w:rsidRDefault="00E60F7F" w:rsidP="00E60F7F">
      <w:pPr>
        <w:spacing w:line="240" w:lineRule="auto"/>
        <w:contextualSpacing/>
        <w:rPr>
          <w:sz w:val="25"/>
          <w:szCs w:val="25"/>
        </w:rPr>
      </w:pPr>
    </w:p>
    <w:p w14:paraId="176DB4F5" w14:textId="77777777" w:rsidR="00903122" w:rsidRDefault="00903122" w:rsidP="00E60F7F">
      <w:pPr>
        <w:spacing w:line="240" w:lineRule="auto"/>
        <w:contextualSpacing/>
        <w:rPr>
          <w:sz w:val="25"/>
          <w:szCs w:val="25"/>
        </w:rPr>
      </w:pPr>
    </w:p>
    <w:p w14:paraId="00DAD61A" w14:textId="77777777" w:rsidR="00903122" w:rsidRDefault="00903122" w:rsidP="00E60F7F">
      <w:pPr>
        <w:spacing w:line="240" w:lineRule="auto"/>
        <w:contextualSpacing/>
        <w:rPr>
          <w:sz w:val="25"/>
          <w:szCs w:val="25"/>
        </w:rPr>
      </w:pPr>
    </w:p>
    <w:p w14:paraId="4B49FC69" w14:textId="77777777" w:rsidR="00903122" w:rsidRDefault="00903122" w:rsidP="00E60F7F">
      <w:pPr>
        <w:spacing w:line="240" w:lineRule="auto"/>
        <w:contextualSpacing/>
        <w:rPr>
          <w:sz w:val="25"/>
          <w:szCs w:val="25"/>
        </w:rPr>
      </w:pPr>
    </w:p>
    <w:p w14:paraId="46057542" w14:textId="77777777" w:rsidR="00E60F7F" w:rsidRDefault="00E60F7F" w:rsidP="00E60F7F">
      <w:pPr>
        <w:spacing w:line="240" w:lineRule="auto"/>
        <w:contextualSpacing/>
        <w:rPr>
          <w:sz w:val="25"/>
          <w:szCs w:val="25"/>
        </w:rPr>
      </w:pPr>
    </w:p>
    <w:p w14:paraId="1F23C9BB" w14:textId="77777777" w:rsidR="00E60F7F" w:rsidRDefault="00E60F7F" w:rsidP="00E60F7F">
      <w:pPr>
        <w:spacing w:line="240" w:lineRule="auto"/>
        <w:contextualSpacing/>
        <w:rPr>
          <w:sz w:val="25"/>
          <w:szCs w:val="25"/>
        </w:rPr>
      </w:pPr>
    </w:p>
    <w:p w14:paraId="5F8D8196" w14:textId="33ACBDAB" w:rsidR="00E60F7F" w:rsidRPr="00E60F7F" w:rsidRDefault="00E60F7F" w:rsidP="00903122">
      <w:pPr>
        <w:widowControl w:val="0"/>
        <w:spacing w:line="240" w:lineRule="auto"/>
        <w:ind w:left="4536" w:firstLine="0"/>
        <w:jc w:val="left"/>
        <w:rPr>
          <w:bCs/>
          <w:sz w:val="24"/>
          <w:szCs w:val="24"/>
          <w:lang w:eastAsia="en-US"/>
        </w:rPr>
      </w:pPr>
      <w:bookmarkStart w:id="8" w:name="_Hlk222487241"/>
      <w:r w:rsidRPr="00E60F7F">
        <w:rPr>
          <w:bCs/>
          <w:sz w:val="24"/>
          <w:szCs w:val="24"/>
          <w:lang w:eastAsia="en-US"/>
        </w:rPr>
        <w:lastRenderedPageBreak/>
        <w:t xml:space="preserve">Приложение </w:t>
      </w:r>
      <w:r>
        <w:rPr>
          <w:bCs/>
          <w:sz w:val="24"/>
          <w:szCs w:val="24"/>
          <w:lang w:eastAsia="en-US"/>
        </w:rPr>
        <w:t>1</w:t>
      </w:r>
      <w:r w:rsidRPr="00E60F7F">
        <w:rPr>
          <w:bCs/>
          <w:sz w:val="24"/>
          <w:szCs w:val="24"/>
          <w:lang w:eastAsia="en-US"/>
        </w:rPr>
        <w:t xml:space="preserve"> </w:t>
      </w:r>
    </w:p>
    <w:p w14:paraId="771C893D" w14:textId="51C28C0F" w:rsidR="00E60F7F" w:rsidRPr="00E60F7F" w:rsidRDefault="00E60F7F" w:rsidP="00903122">
      <w:pPr>
        <w:widowControl w:val="0"/>
        <w:spacing w:line="240" w:lineRule="auto"/>
        <w:ind w:left="4536" w:firstLine="0"/>
        <w:jc w:val="left"/>
        <w:rPr>
          <w:b/>
          <w:sz w:val="28"/>
          <w:szCs w:val="28"/>
        </w:rPr>
      </w:pPr>
      <w:r w:rsidRPr="00E60F7F">
        <w:rPr>
          <w:bCs/>
          <w:sz w:val="24"/>
          <w:szCs w:val="24"/>
          <w:lang w:eastAsia="en-US"/>
        </w:rPr>
        <w:t>к Стандарту внешнего муниципального финансового контроля «Оценка реализуемости, рисков и результатов достижения целей социально-экономического развития Сосновоборского городского округа, предусмотренных документами стратегического планирования Сосновоборского городского округа в пределах компетенции контрольно-счетного органа муниципального образования»</w:t>
      </w:r>
    </w:p>
    <w:p w14:paraId="1CC9F115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b/>
          <w:sz w:val="28"/>
          <w:szCs w:val="28"/>
        </w:rPr>
      </w:pPr>
    </w:p>
    <w:p w14:paraId="0A32794A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jc w:val="center"/>
        <w:rPr>
          <w:b/>
          <w:sz w:val="28"/>
          <w:szCs w:val="28"/>
        </w:rPr>
      </w:pPr>
      <w:bookmarkStart w:id="9" w:name="P326"/>
      <w:bookmarkEnd w:id="8"/>
      <w:bookmarkEnd w:id="9"/>
      <w:r w:rsidRPr="00E60F7F">
        <w:rPr>
          <w:b/>
          <w:sz w:val="28"/>
          <w:szCs w:val="28"/>
        </w:rPr>
        <w:t>Матрица</w:t>
      </w:r>
    </w:p>
    <w:p w14:paraId="4D63CA5F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jc w:val="center"/>
        <w:rPr>
          <w:b/>
          <w:sz w:val="28"/>
          <w:szCs w:val="28"/>
        </w:rPr>
      </w:pPr>
      <w:r w:rsidRPr="00E60F7F">
        <w:rPr>
          <w:b/>
          <w:sz w:val="28"/>
          <w:szCs w:val="28"/>
        </w:rPr>
        <w:t xml:space="preserve">подготовительного этапа стратегического аудита </w:t>
      </w:r>
    </w:p>
    <w:p w14:paraId="08578B16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jc w:val="center"/>
        <w:rPr>
          <w:b/>
          <w:sz w:val="28"/>
          <w:szCs w:val="28"/>
        </w:rPr>
      </w:pPr>
      <w:r w:rsidRPr="00E60F7F">
        <w:rPr>
          <w:b/>
          <w:sz w:val="28"/>
          <w:szCs w:val="28"/>
        </w:rPr>
        <w:t>(матрица дизайна)</w:t>
      </w:r>
    </w:p>
    <w:p w14:paraId="217F860A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1134"/>
        <w:gridCol w:w="1559"/>
        <w:gridCol w:w="1418"/>
        <w:gridCol w:w="1134"/>
        <w:gridCol w:w="1417"/>
        <w:gridCol w:w="1418"/>
      </w:tblGrid>
      <w:tr w:rsidR="00E60F7F" w:rsidRPr="00E60F7F" w14:paraId="34F0EEB7" w14:textId="77777777" w:rsidTr="00294FEF">
        <w:tc>
          <w:tcPr>
            <w:tcW w:w="1413" w:type="dxa"/>
          </w:tcPr>
          <w:p w14:paraId="3445E63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Гипотеза</w:t>
            </w:r>
          </w:p>
        </w:tc>
        <w:tc>
          <w:tcPr>
            <w:tcW w:w="1134" w:type="dxa"/>
          </w:tcPr>
          <w:p w14:paraId="789D380C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Критерий</w:t>
            </w:r>
          </w:p>
        </w:tc>
        <w:tc>
          <w:tcPr>
            <w:tcW w:w="1559" w:type="dxa"/>
          </w:tcPr>
          <w:p w14:paraId="427C186C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Методы</w:t>
            </w:r>
          </w:p>
        </w:tc>
        <w:tc>
          <w:tcPr>
            <w:tcW w:w="1418" w:type="dxa"/>
          </w:tcPr>
          <w:p w14:paraId="2DC1CF03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Ограничения</w:t>
            </w:r>
          </w:p>
        </w:tc>
        <w:tc>
          <w:tcPr>
            <w:tcW w:w="1134" w:type="dxa"/>
          </w:tcPr>
          <w:p w14:paraId="7F2F6F8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Предварительные результаты</w:t>
            </w:r>
          </w:p>
        </w:tc>
        <w:tc>
          <w:tcPr>
            <w:tcW w:w="1417" w:type="dxa"/>
          </w:tcPr>
          <w:p w14:paraId="59D61B7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Предварительные выводы</w:t>
            </w:r>
          </w:p>
        </w:tc>
        <w:tc>
          <w:tcPr>
            <w:tcW w:w="1418" w:type="dxa"/>
          </w:tcPr>
          <w:p w14:paraId="05E81EC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Предварительные рекомендации</w:t>
            </w:r>
          </w:p>
        </w:tc>
      </w:tr>
      <w:tr w:rsidR="00E60F7F" w:rsidRPr="00E60F7F" w14:paraId="09EE5C09" w14:textId="77777777" w:rsidTr="00294FEF">
        <w:tc>
          <w:tcPr>
            <w:tcW w:w="9493" w:type="dxa"/>
            <w:gridSpan w:val="7"/>
            <w:vAlign w:val="bottom"/>
          </w:tcPr>
          <w:p w14:paraId="1A02AE16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Цель 1</w:t>
            </w:r>
          </w:p>
          <w:p w14:paraId="73DD4008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Вопрос 1 - вопрос, на который предполагается ответить в ходе аудита (конкретный, нейтральный, на него реалистично получить ответ)</w:t>
            </w:r>
          </w:p>
        </w:tc>
      </w:tr>
      <w:tr w:rsidR="00E60F7F" w:rsidRPr="00E60F7F" w14:paraId="4C1523CC" w14:textId="77777777" w:rsidTr="00294FEF">
        <w:tc>
          <w:tcPr>
            <w:tcW w:w="1413" w:type="dxa"/>
          </w:tcPr>
          <w:p w14:paraId="184D72C1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Предположение, которое проверяется в ходе мероприятия</w:t>
            </w:r>
          </w:p>
        </w:tc>
        <w:tc>
          <w:tcPr>
            <w:tcW w:w="1134" w:type="dxa"/>
          </w:tcPr>
          <w:p w14:paraId="6E381367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Правило, эталон для принятия решения по оценке</w:t>
            </w:r>
          </w:p>
        </w:tc>
        <w:tc>
          <w:tcPr>
            <w:tcW w:w="1559" w:type="dxa"/>
          </w:tcPr>
          <w:p w14:paraId="784D4695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Описание метода (набора методов), который используется для ответа на каждый вопрос</w:t>
            </w:r>
          </w:p>
        </w:tc>
        <w:tc>
          <w:tcPr>
            <w:tcW w:w="1418" w:type="dxa"/>
          </w:tcPr>
          <w:p w14:paraId="4799BF2F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Описание ограничений применяемых методов сбора и анализа данных</w:t>
            </w:r>
          </w:p>
        </w:tc>
        <w:tc>
          <w:tcPr>
            <w:tcW w:w="1134" w:type="dxa"/>
          </w:tcPr>
          <w:p w14:paraId="70484E0E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Предварительное описание результата</w:t>
            </w:r>
          </w:p>
        </w:tc>
        <w:tc>
          <w:tcPr>
            <w:tcW w:w="1417" w:type="dxa"/>
          </w:tcPr>
          <w:p w14:paraId="20E7631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Описание потенциальных выводов по каждой цели на основе ожидаемых результатов</w:t>
            </w:r>
          </w:p>
        </w:tc>
        <w:tc>
          <w:tcPr>
            <w:tcW w:w="1418" w:type="dxa"/>
          </w:tcPr>
          <w:p w14:paraId="67D0B0A2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Предварительное описание рекомендаций</w:t>
            </w:r>
          </w:p>
        </w:tc>
      </w:tr>
      <w:tr w:rsidR="00E60F7F" w:rsidRPr="00E60F7F" w14:paraId="1E87BAC4" w14:textId="77777777" w:rsidTr="00294FEF">
        <w:tc>
          <w:tcPr>
            <w:tcW w:w="9493" w:type="dxa"/>
            <w:gridSpan w:val="7"/>
            <w:vAlign w:val="bottom"/>
          </w:tcPr>
          <w:p w14:paraId="620B26FE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Цель 1</w:t>
            </w:r>
          </w:p>
          <w:p w14:paraId="60E3CEF7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Вопрос 2</w:t>
            </w:r>
          </w:p>
        </w:tc>
      </w:tr>
      <w:tr w:rsidR="00E60F7F" w:rsidRPr="00E60F7F" w14:paraId="5F7E0FD6" w14:textId="77777777" w:rsidTr="00294FEF">
        <w:tc>
          <w:tcPr>
            <w:tcW w:w="1413" w:type="dxa"/>
          </w:tcPr>
          <w:p w14:paraId="5814AD4B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</w:tcPr>
          <w:p w14:paraId="2C490A03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559" w:type="dxa"/>
          </w:tcPr>
          <w:p w14:paraId="0911E0EC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418" w:type="dxa"/>
          </w:tcPr>
          <w:p w14:paraId="0DEE6A52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</w:tcPr>
          <w:p w14:paraId="0E718231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417" w:type="dxa"/>
          </w:tcPr>
          <w:p w14:paraId="339C4055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418" w:type="dxa"/>
          </w:tcPr>
          <w:p w14:paraId="0C5CCF01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</w:tr>
      <w:tr w:rsidR="00E60F7F" w:rsidRPr="00E60F7F" w14:paraId="04E908FE" w14:textId="77777777" w:rsidTr="00294FEF">
        <w:tc>
          <w:tcPr>
            <w:tcW w:w="9493" w:type="dxa"/>
            <w:gridSpan w:val="7"/>
            <w:vAlign w:val="bottom"/>
          </w:tcPr>
          <w:p w14:paraId="0232609C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  <w:p w14:paraId="61B0E84F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Цель 2</w:t>
            </w:r>
          </w:p>
          <w:p w14:paraId="5ACCFBE9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Вопрос 1</w:t>
            </w:r>
          </w:p>
        </w:tc>
      </w:tr>
      <w:tr w:rsidR="00E60F7F" w:rsidRPr="00E60F7F" w14:paraId="0C3E2564" w14:textId="77777777" w:rsidTr="00294FEF">
        <w:tc>
          <w:tcPr>
            <w:tcW w:w="1413" w:type="dxa"/>
          </w:tcPr>
          <w:p w14:paraId="7B0AA899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</w:tcPr>
          <w:p w14:paraId="62F2FBDA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559" w:type="dxa"/>
          </w:tcPr>
          <w:p w14:paraId="1EB4C738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418" w:type="dxa"/>
          </w:tcPr>
          <w:p w14:paraId="184B6DD6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</w:tcPr>
          <w:p w14:paraId="20C170F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417" w:type="dxa"/>
          </w:tcPr>
          <w:p w14:paraId="3816FBAF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  <w:tc>
          <w:tcPr>
            <w:tcW w:w="1418" w:type="dxa"/>
          </w:tcPr>
          <w:p w14:paraId="64C24782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60F7F">
              <w:rPr>
                <w:sz w:val="20"/>
                <w:szCs w:val="20"/>
              </w:rPr>
              <w:t>...</w:t>
            </w:r>
          </w:p>
        </w:tc>
      </w:tr>
    </w:tbl>
    <w:p w14:paraId="472D14AA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277EA576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409E6254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172F0EC7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0356AF1B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2F8844E0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19C70358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02D802C4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33EECABB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6AE4443F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521B0D56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72DB7E2C" w14:textId="77777777" w:rsid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0E8661D5" w14:textId="77777777" w:rsidR="00903122" w:rsidRDefault="00903122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14EDBE22" w14:textId="77777777" w:rsidR="00903122" w:rsidRPr="00E60F7F" w:rsidRDefault="00903122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69844755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Cs w:val="20"/>
        </w:rPr>
      </w:pPr>
    </w:p>
    <w:p w14:paraId="33A523BB" w14:textId="349C5DC0" w:rsidR="00E60F7F" w:rsidRPr="00E60F7F" w:rsidRDefault="00E60F7F" w:rsidP="00903122">
      <w:pPr>
        <w:widowControl w:val="0"/>
        <w:spacing w:line="240" w:lineRule="auto"/>
        <w:ind w:left="4536" w:firstLine="0"/>
        <w:jc w:val="left"/>
        <w:rPr>
          <w:bCs/>
          <w:sz w:val="24"/>
          <w:szCs w:val="24"/>
          <w:lang w:eastAsia="en-US"/>
        </w:rPr>
      </w:pPr>
      <w:r w:rsidRPr="00E60F7F">
        <w:rPr>
          <w:bCs/>
          <w:sz w:val="24"/>
          <w:szCs w:val="24"/>
          <w:lang w:eastAsia="en-US"/>
        </w:rPr>
        <w:lastRenderedPageBreak/>
        <w:t xml:space="preserve">Приложение </w:t>
      </w:r>
      <w:r>
        <w:rPr>
          <w:bCs/>
          <w:sz w:val="24"/>
          <w:szCs w:val="24"/>
          <w:lang w:eastAsia="en-US"/>
        </w:rPr>
        <w:t>2</w:t>
      </w:r>
      <w:r w:rsidRPr="00E60F7F">
        <w:rPr>
          <w:bCs/>
          <w:sz w:val="24"/>
          <w:szCs w:val="24"/>
          <w:lang w:eastAsia="en-US"/>
        </w:rPr>
        <w:t xml:space="preserve"> </w:t>
      </w:r>
    </w:p>
    <w:p w14:paraId="61588743" w14:textId="1C9E519D" w:rsidR="00E60F7F" w:rsidRPr="00E60F7F" w:rsidRDefault="00E60F7F" w:rsidP="00903122">
      <w:pPr>
        <w:widowControl w:val="0"/>
        <w:spacing w:line="240" w:lineRule="auto"/>
        <w:ind w:left="4536" w:firstLine="0"/>
        <w:jc w:val="left"/>
        <w:rPr>
          <w:b/>
          <w:sz w:val="28"/>
          <w:szCs w:val="28"/>
        </w:rPr>
      </w:pPr>
      <w:r w:rsidRPr="00E60F7F">
        <w:rPr>
          <w:bCs/>
          <w:sz w:val="24"/>
          <w:szCs w:val="24"/>
          <w:lang w:eastAsia="en-US"/>
        </w:rPr>
        <w:t>к Стандарту внешнего муниципального финансового контроля «Оценка реализуемости, рисков и результатов достижения целей социально-экономического развития Сосновоборского городского округа, предусмотренных документами стратегического планирования Сосновоборского городского округа в пределах компетенции контрольно-счетного органа муниципального образования»</w:t>
      </w:r>
    </w:p>
    <w:p w14:paraId="1C49F660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b/>
          <w:sz w:val="28"/>
          <w:szCs w:val="28"/>
        </w:rPr>
      </w:pPr>
    </w:p>
    <w:p w14:paraId="06428CC0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jc w:val="center"/>
        <w:rPr>
          <w:b/>
          <w:sz w:val="28"/>
          <w:szCs w:val="28"/>
        </w:rPr>
      </w:pPr>
      <w:bookmarkStart w:id="10" w:name="P373"/>
      <w:bookmarkEnd w:id="10"/>
      <w:r w:rsidRPr="00E60F7F">
        <w:rPr>
          <w:b/>
          <w:sz w:val="28"/>
          <w:szCs w:val="28"/>
        </w:rPr>
        <w:t>Матрица результатов (по каждому вопросу мероприятия)</w:t>
      </w:r>
    </w:p>
    <w:p w14:paraId="421E5FB7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 w:val="18"/>
          <w:szCs w:val="1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1418"/>
        <w:gridCol w:w="1276"/>
        <w:gridCol w:w="1275"/>
        <w:gridCol w:w="851"/>
        <w:gridCol w:w="1276"/>
        <w:gridCol w:w="1417"/>
      </w:tblGrid>
      <w:tr w:rsidR="00FB0DB3" w:rsidRPr="00E60F7F" w14:paraId="19600A9B" w14:textId="77777777" w:rsidTr="00715158">
        <w:tc>
          <w:tcPr>
            <w:tcW w:w="6232" w:type="dxa"/>
            <w:gridSpan w:val="5"/>
          </w:tcPr>
          <w:p w14:paraId="224AD1A3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Результат (Р) = ...</w:t>
            </w:r>
          </w:p>
        </w:tc>
        <w:tc>
          <w:tcPr>
            <w:tcW w:w="851" w:type="dxa"/>
            <w:vMerge w:val="restart"/>
          </w:tcPr>
          <w:p w14:paraId="2B59321B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Хорошие практики</w:t>
            </w:r>
          </w:p>
        </w:tc>
        <w:tc>
          <w:tcPr>
            <w:tcW w:w="1276" w:type="dxa"/>
            <w:vMerge w:val="restart"/>
          </w:tcPr>
          <w:p w14:paraId="17E4121F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Рекомендации</w:t>
            </w:r>
          </w:p>
        </w:tc>
        <w:tc>
          <w:tcPr>
            <w:tcW w:w="1417" w:type="dxa"/>
            <w:vMerge w:val="restart"/>
          </w:tcPr>
          <w:p w14:paraId="239800B6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Потенциальная ценность результатов и рекомендаций</w:t>
            </w:r>
          </w:p>
        </w:tc>
      </w:tr>
      <w:tr w:rsidR="00FB0DB3" w:rsidRPr="00E60F7F" w14:paraId="216DF75D" w14:textId="77777777" w:rsidTr="00715158">
        <w:tc>
          <w:tcPr>
            <w:tcW w:w="1129" w:type="dxa"/>
          </w:tcPr>
          <w:p w14:paraId="14839089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факты</w:t>
            </w:r>
          </w:p>
          <w:p w14:paraId="164CA267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(Ф)</w:t>
            </w:r>
          </w:p>
        </w:tc>
        <w:tc>
          <w:tcPr>
            <w:tcW w:w="1134" w:type="dxa"/>
          </w:tcPr>
          <w:p w14:paraId="14FEF99A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критерий</w:t>
            </w:r>
          </w:p>
          <w:p w14:paraId="14BA348E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(К)</w:t>
            </w:r>
          </w:p>
        </w:tc>
        <w:tc>
          <w:tcPr>
            <w:tcW w:w="1418" w:type="dxa"/>
          </w:tcPr>
          <w:p w14:paraId="467EFA7C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доказательство</w:t>
            </w:r>
          </w:p>
          <w:p w14:paraId="105C4B28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(Д)</w:t>
            </w:r>
          </w:p>
        </w:tc>
        <w:tc>
          <w:tcPr>
            <w:tcW w:w="1276" w:type="dxa"/>
          </w:tcPr>
          <w:p w14:paraId="3FBBE46B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первопричины</w:t>
            </w:r>
          </w:p>
          <w:p w14:paraId="2636C121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(П)</w:t>
            </w:r>
          </w:p>
        </w:tc>
        <w:tc>
          <w:tcPr>
            <w:tcW w:w="1275" w:type="dxa"/>
          </w:tcPr>
          <w:p w14:paraId="1D9BC3D1" w14:textId="77777777" w:rsidR="00FB0DB3" w:rsidRPr="00E60F7F" w:rsidRDefault="00FB0DB3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последствия</w:t>
            </w:r>
          </w:p>
        </w:tc>
        <w:tc>
          <w:tcPr>
            <w:tcW w:w="851" w:type="dxa"/>
            <w:vMerge/>
          </w:tcPr>
          <w:p w14:paraId="7BB3DE92" w14:textId="77777777" w:rsidR="00FB0DB3" w:rsidRPr="00E60F7F" w:rsidRDefault="00FB0DB3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vMerge/>
          </w:tcPr>
          <w:p w14:paraId="3E6E8957" w14:textId="77777777" w:rsidR="00FB0DB3" w:rsidRPr="00E60F7F" w:rsidRDefault="00FB0DB3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417" w:type="dxa"/>
            <w:vMerge/>
          </w:tcPr>
          <w:p w14:paraId="3197A3A6" w14:textId="77777777" w:rsidR="00FB0DB3" w:rsidRPr="00E60F7F" w:rsidRDefault="00FB0DB3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</w:tr>
      <w:tr w:rsidR="00E60F7F" w:rsidRPr="00E60F7F" w14:paraId="6E2915E2" w14:textId="77777777" w:rsidTr="00715158">
        <w:tc>
          <w:tcPr>
            <w:tcW w:w="1129" w:type="dxa"/>
            <w:vMerge w:val="restart"/>
            <w:tcBorders>
              <w:bottom w:val="nil"/>
            </w:tcBorders>
          </w:tcPr>
          <w:p w14:paraId="12B77F62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Наиболее важные факты, выявленные на основном этапе мероприятия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249E88DA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Правило, эталон для принятия решения по оценке</w:t>
            </w:r>
          </w:p>
        </w:tc>
        <w:tc>
          <w:tcPr>
            <w:tcW w:w="1418" w:type="dxa"/>
            <w:vMerge w:val="restart"/>
          </w:tcPr>
          <w:p w14:paraId="70F4DA26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hanging="28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Методы анализа данных и полученные по итогам аудиторские доказательства</w:t>
            </w:r>
          </w:p>
        </w:tc>
        <w:tc>
          <w:tcPr>
            <w:tcW w:w="1276" w:type="dxa"/>
            <w:vMerge w:val="restart"/>
          </w:tcPr>
          <w:p w14:paraId="7C61E487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Причины различий между обнаруженными фактами (Ф) и критерием (К)</w:t>
            </w:r>
          </w:p>
        </w:tc>
        <w:tc>
          <w:tcPr>
            <w:tcW w:w="1275" w:type="dxa"/>
            <w:tcBorders>
              <w:bottom w:val="nil"/>
            </w:tcBorders>
          </w:tcPr>
          <w:p w14:paraId="528911A4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Последствия, связанные с первопричинами (П) и соответствующими результатами (Р)</w:t>
            </w:r>
          </w:p>
        </w:tc>
        <w:tc>
          <w:tcPr>
            <w:tcW w:w="851" w:type="dxa"/>
            <w:vMerge w:val="restart"/>
          </w:tcPr>
          <w:p w14:paraId="6F76B17E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Действия, приводящие к высокой результативности</w:t>
            </w:r>
          </w:p>
        </w:tc>
        <w:tc>
          <w:tcPr>
            <w:tcW w:w="1276" w:type="dxa"/>
            <w:vMerge w:val="restart"/>
          </w:tcPr>
          <w:p w14:paraId="378424B6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Действия, направленные на устранение наиболее важных первопричин (П)</w:t>
            </w:r>
          </w:p>
        </w:tc>
        <w:tc>
          <w:tcPr>
            <w:tcW w:w="1417" w:type="dxa"/>
            <w:vMerge w:val="restart"/>
          </w:tcPr>
          <w:p w14:paraId="6381305C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Улучшения, ожидаемые в результате выполнения рекомендаций (предпочтительно количественная или качественная оценка)</w:t>
            </w:r>
          </w:p>
        </w:tc>
      </w:tr>
      <w:tr w:rsidR="00E60F7F" w:rsidRPr="00E60F7F" w14:paraId="3EDA2607" w14:textId="77777777" w:rsidTr="00715158">
        <w:tblPrEx>
          <w:tblBorders>
            <w:insideH w:val="nil"/>
          </w:tblBorders>
        </w:tblPrEx>
        <w:trPr>
          <w:trHeight w:val="270"/>
        </w:trPr>
        <w:tc>
          <w:tcPr>
            <w:tcW w:w="1129" w:type="dxa"/>
            <w:vMerge/>
            <w:tcBorders>
              <w:bottom w:val="nil"/>
            </w:tcBorders>
          </w:tcPr>
          <w:p w14:paraId="39395E7C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68EA9DBA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14:paraId="0BB1CAE1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</w:tcPr>
          <w:p w14:paraId="3EC0D934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075973F7" w14:textId="77777777" w:rsidR="00E60F7F" w:rsidRPr="00E60F7F" w:rsidRDefault="00E60F7F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 w:rsidRPr="00E60F7F">
              <w:rPr>
                <w:sz w:val="18"/>
                <w:szCs w:val="18"/>
              </w:rPr>
              <w:t>Это мера актуальности результата</w:t>
            </w:r>
          </w:p>
        </w:tc>
        <w:tc>
          <w:tcPr>
            <w:tcW w:w="851" w:type="dxa"/>
            <w:vMerge/>
          </w:tcPr>
          <w:p w14:paraId="0DC27691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vMerge/>
          </w:tcPr>
          <w:p w14:paraId="784B561D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417" w:type="dxa"/>
            <w:vMerge/>
          </w:tcPr>
          <w:p w14:paraId="7D3394A3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</w:tr>
      <w:tr w:rsidR="00E60F7F" w:rsidRPr="00E60F7F" w14:paraId="3CB47B75" w14:textId="77777777" w:rsidTr="00715158">
        <w:tblPrEx>
          <w:tblBorders>
            <w:insideH w:val="nil"/>
          </w:tblBorders>
        </w:tblPrEx>
        <w:tc>
          <w:tcPr>
            <w:tcW w:w="1129" w:type="dxa"/>
            <w:tcBorders>
              <w:top w:val="nil"/>
            </w:tcBorders>
          </w:tcPr>
          <w:p w14:paraId="51F1BB46" w14:textId="7F286A42" w:rsidR="00E60F7F" w:rsidRPr="00E60F7F" w:rsidRDefault="00903122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E60F7F" w:rsidRPr="00E60F7F">
              <w:rPr>
                <w:sz w:val="18"/>
                <w:szCs w:val="18"/>
              </w:rPr>
              <w:t>Как есть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</w:tcBorders>
          </w:tcPr>
          <w:p w14:paraId="41AA5960" w14:textId="53006019" w:rsidR="00E60F7F" w:rsidRPr="00E60F7F" w:rsidRDefault="00903122" w:rsidP="00E60F7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E60F7F" w:rsidRPr="00E60F7F">
              <w:rPr>
                <w:sz w:val="18"/>
                <w:szCs w:val="18"/>
              </w:rPr>
              <w:t>Как должно быть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vMerge/>
          </w:tcPr>
          <w:p w14:paraId="3F3395C3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vMerge/>
          </w:tcPr>
          <w:p w14:paraId="3905242B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54966A8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51" w:type="dxa"/>
            <w:vMerge/>
          </w:tcPr>
          <w:p w14:paraId="3BF3F720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vMerge/>
          </w:tcPr>
          <w:p w14:paraId="195C5407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417" w:type="dxa"/>
            <w:vMerge/>
          </w:tcPr>
          <w:p w14:paraId="06105C60" w14:textId="77777777" w:rsidR="00E60F7F" w:rsidRPr="00E60F7F" w:rsidRDefault="00E60F7F" w:rsidP="00E60F7F">
            <w:pPr>
              <w:widowControl w:val="0"/>
              <w:spacing w:after="1" w:line="0" w:lineRule="atLeast"/>
              <w:ind w:firstLine="0"/>
              <w:jc w:val="left"/>
              <w:rPr>
                <w:sz w:val="18"/>
                <w:szCs w:val="18"/>
                <w:lang w:val="en-US" w:eastAsia="en-US"/>
              </w:rPr>
            </w:pPr>
          </w:p>
        </w:tc>
      </w:tr>
    </w:tbl>
    <w:p w14:paraId="72F11443" w14:textId="77777777" w:rsidR="00E60F7F" w:rsidRPr="00E60F7F" w:rsidRDefault="00E60F7F" w:rsidP="00E60F7F">
      <w:pPr>
        <w:widowControl w:val="0"/>
        <w:autoSpaceDE w:val="0"/>
        <w:autoSpaceDN w:val="0"/>
        <w:spacing w:line="240" w:lineRule="auto"/>
        <w:ind w:firstLine="0"/>
        <w:rPr>
          <w:rFonts w:ascii="Calibri" w:hAnsi="Calibri" w:cs="Calibri"/>
          <w:sz w:val="18"/>
          <w:szCs w:val="18"/>
        </w:rPr>
      </w:pPr>
    </w:p>
    <w:sectPr w:rsidR="00E60F7F" w:rsidRPr="00E60F7F" w:rsidSect="00281832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B464" w14:textId="77777777" w:rsidR="00466BBD" w:rsidRDefault="00466BBD">
      <w:r>
        <w:separator/>
      </w:r>
    </w:p>
  </w:endnote>
  <w:endnote w:type="continuationSeparator" w:id="0">
    <w:p w14:paraId="28D3025B" w14:textId="77777777" w:rsidR="00466BBD" w:rsidRDefault="0046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962B" w14:textId="77777777" w:rsidR="00127661" w:rsidRDefault="000335E6" w:rsidP="00362239">
    <w:pPr>
      <w:pStyle w:val="af0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19BA2C" w14:textId="77777777" w:rsidR="00127661" w:rsidRDefault="00127661" w:rsidP="0050740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5E69" w14:textId="77777777" w:rsidR="00466BBD" w:rsidRDefault="00466BBD">
      <w:r>
        <w:separator/>
      </w:r>
    </w:p>
  </w:footnote>
  <w:footnote w:type="continuationSeparator" w:id="0">
    <w:p w14:paraId="35443455" w14:textId="77777777" w:rsidR="00466BBD" w:rsidRDefault="00466BBD">
      <w:r>
        <w:continuationSeparator/>
      </w:r>
    </w:p>
  </w:footnote>
  <w:footnote w:id="1">
    <w:p w14:paraId="72E996C3" w14:textId="153B6146" w:rsidR="001E1C18" w:rsidRDefault="001E1C18">
      <w:pPr>
        <w:pStyle w:val="ae"/>
      </w:pPr>
      <w:r>
        <w:rPr>
          <w:rStyle w:val="aff7"/>
        </w:rPr>
        <w:footnoteRef/>
      </w:r>
      <w:r>
        <w:t xml:space="preserve"> </w:t>
      </w:r>
      <w:r w:rsidRPr="001E1C18">
        <w:t>Вероятность того, что сформулированные выводы и предложения (рекомендации) не содержат информацию, способствующую достижению (повышению достижимости) стратегических целей.</w:t>
      </w:r>
    </w:p>
  </w:footnote>
  <w:footnote w:id="2">
    <w:p w14:paraId="4B1796CA" w14:textId="1243794C" w:rsidR="006B35CC" w:rsidRDefault="006B35CC">
      <w:pPr>
        <w:pStyle w:val="ae"/>
      </w:pPr>
      <w:r>
        <w:rPr>
          <w:rStyle w:val="aff7"/>
        </w:rPr>
        <w:footnoteRef/>
      </w:r>
      <w:r>
        <w:t xml:space="preserve"> </w:t>
      </w:r>
      <w:r w:rsidRPr="006B35CC">
        <w:t>Имеют логическую связь с целями и вопросами мероприятия и значимы для достижения целей мероприятия.</w:t>
      </w:r>
    </w:p>
  </w:footnote>
  <w:footnote w:id="3">
    <w:p w14:paraId="1DCE824F" w14:textId="0AC74EAB" w:rsidR="006B35CC" w:rsidRDefault="006B35CC">
      <w:pPr>
        <w:pStyle w:val="ae"/>
      </w:pPr>
      <w:r>
        <w:rPr>
          <w:rStyle w:val="aff7"/>
        </w:rPr>
        <w:footnoteRef/>
      </w:r>
      <w:r>
        <w:t xml:space="preserve"> </w:t>
      </w:r>
      <w:r w:rsidRPr="006B35CC">
        <w:t>Обоснованность и пригодность применения методик и результатов исследования к конкретным условиям стратегического аудита.</w:t>
      </w:r>
    </w:p>
  </w:footnote>
  <w:footnote w:id="4">
    <w:p w14:paraId="6863A092" w14:textId="537846D0" w:rsidR="006B35CC" w:rsidRDefault="006B35CC">
      <w:pPr>
        <w:pStyle w:val="ae"/>
      </w:pPr>
      <w:r>
        <w:rPr>
          <w:rStyle w:val="aff7"/>
        </w:rPr>
        <w:footnoteRef/>
      </w:r>
      <w:r>
        <w:t xml:space="preserve"> </w:t>
      </w:r>
      <w:r w:rsidRPr="006B35CC">
        <w:t>Степень, в которой аудиторские доказательства подтверждаются данными из различных источников или позволяют получать одни и те же результаты при повторном получении.</w:t>
      </w:r>
    </w:p>
  </w:footnote>
  <w:footnote w:id="5">
    <w:p w14:paraId="77C5734F" w14:textId="1AA3B6D0" w:rsidR="00F47857" w:rsidRDefault="00F47857">
      <w:pPr>
        <w:pStyle w:val="ae"/>
      </w:pPr>
      <w:r>
        <w:rPr>
          <w:rStyle w:val="aff7"/>
        </w:rPr>
        <w:footnoteRef/>
      </w:r>
      <w:r>
        <w:t xml:space="preserve"> Утвержден</w:t>
      </w:r>
      <w:r w:rsidRPr="00F47857">
        <w:t xml:space="preserve"> решением Совета контрольно-счетных органов при Счетной палате РФ от 20.12.2018</w:t>
      </w:r>
      <w:r>
        <w:t>.</w:t>
      </w:r>
    </w:p>
  </w:footnote>
  <w:footnote w:id="6">
    <w:p w14:paraId="3FD261A9" w14:textId="2411C9A2" w:rsidR="0085387E" w:rsidRDefault="0085387E">
      <w:pPr>
        <w:pStyle w:val="ae"/>
      </w:pPr>
      <w:r>
        <w:rPr>
          <w:rStyle w:val="aff7"/>
        </w:rPr>
        <w:footnoteRef/>
      </w:r>
      <w:r>
        <w:t xml:space="preserve"> </w:t>
      </w:r>
      <w:r w:rsidRPr="0085387E">
        <w:t>Действия, обеспечивающие получение достаточных и надлежащих аудиторских доказательств.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84CD" w14:textId="77777777" w:rsidR="00127661" w:rsidRDefault="000335E6" w:rsidP="00DB51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635B15" w14:textId="77777777" w:rsidR="00127661" w:rsidRDefault="00127661" w:rsidP="008418DB">
    <w:pPr>
      <w:pStyle w:val="a5"/>
      <w:rPr>
        <w:rStyle w:val="a7"/>
        <w:szCs w:val="28"/>
      </w:rPr>
    </w:pPr>
  </w:p>
  <w:p w14:paraId="13A9E75C" w14:textId="77777777" w:rsidR="00127661" w:rsidRDefault="00127661" w:rsidP="008418D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31E7" w14:textId="77777777" w:rsidR="00C01854" w:rsidRDefault="00FB0DB3">
    <w:pPr>
      <w:pStyle w:val="a5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118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A999" w14:textId="77777777" w:rsidR="00C01854" w:rsidRDefault="00C01854">
    <w:pPr>
      <w:pStyle w:val="a5"/>
      <w:jc w:val="center"/>
    </w:pPr>
  </w:p>
  <w:p w14:paraId="321B3EEE" w14:textId="77777777" w:rsidR="00C01854" w:rsidRDefault="00C018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37EE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D8ED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7524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12440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83275B"/>
    <w:multiLevelType w:val="hybridMultilevel"/>
    <w:tmpl w:val="FFAAE136"/>
    <w:lvl w:ilvl="0" w:tplc="8AE4C5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49106D2A">
      <w:start w:val="1"/>
      <w:numFmt w:val="lowerLetter"/>
      <w:lvlText w:val="%2."/>
      <w:lvlJc w:val="left"/>
      <w:pPr>
        <w:ind w:left="1789" w:hanging="360"/>
      </w:pPr>
    </w:lvl>
    <w:lvl w:ilvl="2" w:tplc="450C6E9E">
      <w:start w:val="1"/>
      <w:numFmt w:val="lowerRoman"/>
      <w:lvlText w:val="%3."/>
      <w:lvlJc w:val="right"/>
      <w:pPr>
        <w:ind w:left="2509" w:hanging="180"/>
      </w:pPr>
    </w:lvl>
    <w:lvl w:ilvl="3" w:tplc="0770BCE2">
      <w:start w:val="1"/>
      <w:numFmt w:val="decimal"/>
      <w:lvlText w:val="%4."/>
      <w:lvlJc w:val="left"/>
      <w:pPr>
        <w:ind w:left="3229" w:hanging="360"/>
      </w:pPr>
    </w:lvl>
    <w:lvl w:ilvl="4" w:tplc="BF049030">
      <w:start w:val="1"/>
      <w:numFmt w:val="lowerLetter"/>
      <w:lvlText w:val="%5."/>
      <w:lvlJc w:val="left"/>
      <w:pPr>
        <w:ind w:left="3949" w:hanging="360"/>
      </w:pPr>
    </w:lvl>
    <w:lvl w:ilvl="5" w:tplc="13C61486">
      <w:start w:val="1"/>
      <w:numFmt w:val="lowerRoman"/>
      <w:lvlText w:val="%6."/>
      <w:lvlJc w:val="right"/>
      <w:pPr>
        <w:ind w:left="4669" w:hanging="180"/>
      </w:pPr>
    </w:lvl>
    <w:lvl w:ilvl="6" w:tplc="D6CE1BCE">
      <w:start w:val="1"/>
      <w:numFmt w:val="decimal"/>
      <w:lvlText w:val="%7."/>
      <w:lvlJc w:val="left"/>
      <w:pPr>
        <w:ind w:left="5389" w:hanging="360"/>
      </w:pPr>
    </w:lvl>
    <w:lvl w:ilvl="7" w:tplc="28D01FC8">
      <w:start w:val="1"/>
      <w:numFmt w:val="lowerLetter"/>
      <w:lvlText w:val="%8."/>
      <w:lvlJc w:val="left"/>
      <w:pPr>
        <w:ind w:left="6109" w:hanging="360"/>
      </w:pPr>
    </w:lvl>
    <w:lvl w:ilvl="8" w:tplc="99B40736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0D40AB"/>
    <w:multiLevelType w:val="hybridMultilevel"/>
    <w:tmpl w:val="13723A6E"/>
    <w:lvl w:ilvl="0" w:tplc="858E1C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9940A27"/>
    <w:multiLevelType w:val="multilevel"/>
    <w:tmpl w:val="5BF2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8A3B96"/>
    <w:multiLevelType w:val="hybridMultilevel"/>
    <w:tmpl w:val="C0983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533ED"/>
    <w:multiLevelType w:val="hybridMultilevel"/>
    <w:tmpl w:val="9662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B9045B"/>
    <w:multiLevelType w:val="hybridMultilevel"/>
    <w:tmpl w:val="281E5C08"/>
    <w:lvl w:ilvl="0" w:tplc="51B0245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877CCD"/>
    <w:multiLevelType w:val="multilevel"/>
    <w:tmpl w:val="539CED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8C92C38"/>
    <w:multiLevelType w:val="multilevel"/>
    <w:tmpl w:val="15E8DC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8F42451"/>
    <w:multiLevelType w:val="multilevel"/>
    <w:tmpl w:val="C854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3B5532"/>
    <w:multiLevelType w:val="hybridMultilevel"/>
    <w:tmpl w:val="545E1B9E"/>
    <w:lvl w:ilvl="0" w:tplc="FAFC263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0BB0D71C">
      <w:start w:val="1"/>
      <w:numFmt w:val="decimal"/>
      <w:lvlText w:val=""/>
      <w:lvlJc w:val="left"/>
    </w:lvl>
    <w:lvl w:ilvl="2" w:tplc="EC48398C">
      <w:start w:val="1"/>
      <w:numFmt w:val="decimal"/>
      <w:lvlText w:val=""/>
      <w:lvlJc w:val="left"/>
    </w:lvl>
    <w:lvl w:ilvl="3" w:tplc="2E32B33C">
      <w:start w:val="1"/>
      <w:numFmt w:val="decimal"/>
      <w:lvlText w:val=""/>
      <w:lvlJc w:val="left"/>
    </w:lvl>
    <w:lvl w:ilvl="4" w:tplc="BAE8CAAA">
      <w:start w:val="1"/>
      <w:numFmt w:val="decimal"/>
      <w:lvlText w:val=""/>
      <w:lvlJc w:val="left"/>
    </w:lvl>
    <w:lvl w:ilvl="5" w:tplc="9A4AB4AA">
      <w:start w:val="1"/>
      <w:numFmt w:val="decimal"/>
      <w:lvlText w:val=""/>
      <w:lvlJc w:val="left"/>
    </w:lvl>
    <w:lvl w:ilvl="6" w:tplc="9326BEAC">
      <w:start w:val="1"/>
      <w:numFmt w:val="decimal"/>
      <w:lvlText w:val=""/>
      <w:lvlJc w:val="left"/>
    </w:lvl>
    <w:lvl w:ilvl="7" w:tplc="4BFED1E4">
      <w:start w:val="1"/>
      <w:numFmt w:val="decimal"/>
      <w:lvlText w:val=""/>
      <w:lvlJc w:val="left"/>
    </w:lvl>
    <w:lvl w:ilvl="8" w:tplc="CF8A714C">
      <w:start w:val="1"/>
      <w:numFmt w:val="decimal"/>
      <w:lvlText w:val=""/>
      <w:lvlJc w:val="left"/>
    </w:lvl>
  </w:abstractNum>
  <w:abstractNum w:abstractNumId="14" w15:restartNumberingAfterBreak="0">
    <w:nsid w:val="3A340F66"/>
    <w:multiLevelType w:val="multilevel"/>
    <w:tmpl w:val="FFBC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D1803DC"/>
    <w:multiLevelType w:val="multilevel"/>
    <w:tmpl w:val="7760FB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6" w15:restartNumberingAfterBreak="0">
    <w:nsid w:val="4B0B2EBF"/>
    <w:multiLevelType w:val="hybridMultilevel"/>
    <w:tmpl w:val="35184EAC"/>
    <w:lvl w:ilvl="0" w:tplc="76983EB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DCFAF5FC">
      <w:start w:val="1"/>
      <w:numFmt w:val="decimal"/>
      <w:lvlText w:val=""/>
      <w:lvlJc w:val="left"/>
    </w:lvl>
    <w:lvl w:ilvl="2" w:tplc="615ECC1A">
      <w:start w:val="1"/>
      <w:numFmt w:val="decimal"/>
      <w:lvlText w:val=""/>
      <w:lvlJc w:val="left"/>
    </w:lvl>
    <w:lvl w:ilvl="3" w:tplc="955A2CD8">
      <w:start w:val="1"/>
      <w:numFmt w:val="decimal"/>
      <w:lvlText w:val=""/>
      <w:lvlJc w:val="left"/>
    </w:lvl>
    <w:lvl w:ilvl="4" w:tplc="A098724C">
      <w:start w:val="1"/>
      <w:numFmt w:val="decimal"/>
      <w:lvlText w:val=""/>
      <w:lvlJc w:val="left"/>
    </w:lvl>
    <w:lvl w:ilvl="5" w:tplc="5504E118">
      <w:start w:val="1"/>
      <w:numFmt w:val="decimal"/>
      <w:lvlText w:val=""/>
      <w:lvlJc w:val="left"/>
    </w:lvl>
    <w:lvl w:ilvl="6" w:tplc="E8D835A8">
      <w:start w:val="1"/>
      <w:numFmt w:val="decimal"/>
      <w:lvlText w:val=""/>
      <w:lvlJc w:val="left"/>
    </w:lvl>
    <w:lvl w:ilvl="7" w:tplc="F5427C02">
      <w:start w:val="1"/>
      <w:numFmt w:val="decimal"/>
      <w:lvlText w:val=""/>
      <w:lvlJc w:val="left"/>
    </w:lvl>
    <w:lvl w:ilvl="8" w:tplc="EAA67838">
      <w:start w:val="1"/>
      <w:numFmt w:val="decimal"/>
      <w:lvlText w:val=""/>
      <w:lvlJc w:val="left"/>
    </w:lvl>
  </w:abstractNum>
  <w:abstractNum w:abstractNumId="17" w15:restartNumberingAfterBreak="0">
    <w:nsid w:val="4B105F69"/>
    <w:multiLevelType w:val="hybridMultilevel"/>
    <w:tmpl w:val="1D00C86A"/>
    <w:lvl w:ilvl="0" w:tplc="099275D8">
      <w:start w:val="1"/>
      <w:numFmt w:val="none"/>
      <w:suff w:val="nothing"/>
      <w:lvlText w:val=""/>
      <w:lvlJc w:val="left"/>
      <w:pPr>
        <w:ind w:left="0" w:firstLine="0"/>
      </w:pPr>
    </w:lvl>
    <w:lvl w:ilvl="1" w:tplc="7C50A120">
      <w:start w:val="1"/>
      <w:numFmt w:val="none"/>
      <w:suff w:val="nothing"/>
      <w:lvlText w:val=""/>
      <w:lvlJc w:val="left"/>
      <w:pPr>
        <w:ind w:left="0" w:firstLine="0"/>
      </w:pPr>
    </w:lvl>
    <w:lvl w:ilvl="2" w:tplc="C91E01A8">
      <w:start w:val="1"/>
      <w:numFmt w:val="none"/>
      <w:suff w:val="nothing"/>
      <w:lvlText w:val=""/>
      <w:lvlJc w:val="left"/>
      <w:pPr>
        <w:ind w:left="0" w:firstLine="0"/>
      </w:pPr>
    </w:lvl>
    <w:lvl w:ilvl="3" w:tplc="08E6A0EC">
      <w:start w:val="1"/>
      <w:numFmt w:val="none"/>
      <w:suff w:val="nothing"/>
      <w:lvlText w:val=""/>
      <w:lvlJc w:val="left"/>
      <w:pPr>
        <w:ind w:left="0" w:firstLine="0"/>
      </w:pPr>
    </w:lvl>
    <w:lvl w:ilvl="4" w:tplc="0576EA9C">
      <w:start w:val="1"/>
      <w:numFmt w:val="none"/>
      <w:suff w:val="nothing"/>
      <w:lvlText w:val=""/>
      <w:lvlJc w:val="left"/>
      <w:pPr>
        <w:ind w:left="0" w:firstLine="0"/>
      </w:pPr>
    </w:lvl>
    <w:lvl w:ilvl="5" w:tplc="1E10B08E">
      <w:start w:val="1"/>
      <w:numFmt w:val="none"/>
      <w:suff w:val="nothing"/>
      <w:lvlText w:val=""/>
      <w:lvlJc w:val="left"/>
      <w:pPr>
        <w:ind w:left="0" w:firstLine="0"/>
      </w:pPr>
    </w:lvl>
    <w:lvl w:ilvl="6" w:tplc="ACCC9102">
      <w:start w:val="1"/>
      <w:numFmt w:val="none"/>
      <w:suff w:val="nothing"/>
      <w:lvlText w:val=""/>
      <w:lvlJc w:val="left"/>
      <w:pPr>
        <w:ind w:left="0" w:firstLine="0"/>
      </w:pPr>
    </w:lvl>
    <w:lvl w:ilvl="7" w:tplc="7668091A">
      <w:start w:val="1"/>
      <w:numFmt w:val="none"/>
      <w:suff w:val="nothing"/>
      <w:lvlText w:val=""/>
      <w:lvlJc w:val="left"/>
      <w:pPr>
        <w:ind w:left="0" w:firstLine="0"/>
      </w:pPr>
    </w:lvl>
    <w:lvl w:ilvl="8" w:tplc="7034170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C081033"/>
    <w:multiLevelType w:val="hybridMultilevel"/>
    <w:tmpl w:val="5C2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5309A"/>
    <w:multiLevelType w:val="multilevel"/>
    <w:tmpl w:val="664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A065352"/>
    <w:multiLevelType w:val="hybridMultilevel"/>
    <w:tmpl w:val="6D90CD38"/>
    <w:lvl w:ilvl="0" w:tplc="9904AD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420E9B8E">
      <w:start w:val="1"/>
      <w:numFmt w:val="decimal"/>
      <w:lvlText w:val=""/>
      <w:lvlJc w:val="left"/>
    </w:lvl>
    <w:lvl w:ilvl="2" w:tplc="3FDE9F32">
      <w:start w:val="1"/>
      <w:numFmt w:val="decimal"/>
      <w:lvlText w:val=""/>
      <w:lvlJc w:val="left"/>
    </w:lvl>
    <w:lvl w:ilvl="3" w:tplc="E3F0049A">
      <w:start w:val="1"/>
      <w:numFmt w:val="decimal"/>
      <w:lvlText w:val=""/>
      <w:lvlJc w:val="left"/>
    </w:lvl>
    <w:lvl w:ilvl="4" w:tplc="CF687DA4">
      <w:start w:val="1"/>
      <w:numFmt w:val="decimal"/>
      <w:lvlText w:val=""/>
      <w:lvlJc w:val="left"/>
    </w:lvl>
    <w:lvl w:ilvl="5" w:tplc="60B0C430">
      <w:start w:val="1"/>
      <w:numFmt w:val="decimal"/>
      <w:lvlText w:val=""/>
      <w:lvlJc w:val="left"/>
    </w:lvl>
    <w:lvl w:ilvl="6" w:tplc="DC3C94FC">
      <w:start w:val="1"/>
      <w:numFmt w:val="decimal"/>
      <w:lvlText w:val=""/>
      <w:lvlJc w:val="left"/>
    </w:lvl>
    <w:lvl w:ilvl="7" w:tplc="14DA44B8">
      <w:start w:val="1"/>
      <w:numFmt w:val="decimal"/>
      <w:lvlText w:val=""/>
      <w:lvlJc w:val="left"/>
    </w:lvl>
    <w:lvl w:ilvl="8" w:tplc="D10AFA68">
      <w:start w:val="1"/>
      <w:numFmt w:val="decimal"/>
      <w:lvlText w:val=""/>
      <w:lvlJc w:val="left"/>
    </w:lvl>
  </w:abstractNum>
  <w:abstractNum w:abstractNumId="21" w15:restartNumberingAfterBreak="0">
    <w:nsid w:val="5D961BBF"/>
    <w:multiLevelType w:val="hybridMultilevel"/>
    <w:tmpl w:val="2604B39E"/>
    <w:lvl w:ilvl="0" w:tplc="3B4888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11740FE4">
      <w:start w:val="1"/>
      <w:numFmt w:val="decimal"/>
      <w:lvlText w:val=""/>
      <w:lvlJc w:val="left"/>
    </w:lvl>
    <w:lvl w:ilvl="2" w:tplc="12744E0E">
      <w:start w:val="1"/>
      <w:numFmt w:val="decimal"/>
      <w:lvlText w:val=""/>
      <w:lvlJc w:val="left"/>
    </w:lvl>
    <w:lvl w:ilvl="3" w:tplc="C0EE1BD8">
      <w:start w:val="1"/>
      <w:numFmt w:val="decimal"/>
      <w:lvlText w:val=""/>
      <w:lvlJc w:val="left"/>
    </w:lvl>
    <w:lvl w:ilvl="4" w:tplc="867CE258">
      <w:start w:val="1"/>
      <w:numFmt w:val="decimal"/>
      <w:lvlText w:val=""/>
      <w:lvlJc w:val="left"/>
    </w:lvl>
    <w:lvl w:ilvl="5" w:tplc="D82827B6">
      <w:start w:val="1"/>
      <w:numFmt w:val="decimal"/>
      <w:lvlText w:val=""/>
      <w:lvlJc w:val="left"/>
    </w:lvl>
    <w:lvl w:ilvl="6" w:tplc="C3CAD04E">
      <w:start w:val="1"/>
      <w:numFmt w:val="decimal"/>
      <w:lvlText w:val=""/>
      <w:lvlJc w:val="left"/>
    </w:lvl>
    <w:lvl w:ilvl="7" w:tplc="DB82A4CA">
      <w:start w:val="1"/>
      <w:numFmt w:val="decimal"/>
      <w:lvlText w:val=""/>
      <w:lvlJc w:val="left"/>
    </w:lvl>
    <w:lvl w:ilvl="8" w:tplc="7B000B1C">
      <w:start w:val="1"/>
      <w:numFmt w:val="decimal"/>
      <w:lvlText w:val=""/>
      <w:lvlJc w:val="left"/>
    </w:lvl>
  </w:abstractNum>
  <w:abstractNum w:abstractNumId="22" w15:restartNumberingAfterBreak="0">
    <w:nsid w:val="638F25B2"/>
    <w:multiLevelType w:val="multilevel"/>
    <w:tmpl w:val="D048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8486575"/>
    <w:multiLevelType w:val="hybridMultilevel"/>
    <w:tmpl w:val="2BBE6AF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40101E"/>
    <w:multiLevelType w:val="multilevel"/>
    <w:tmpl w:val="ED2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9B32B7B"/>
    <w:multiLevelType w:val="hybridMultilevel"/>
    <w:tmpl w:val="A46C49D2"/>
    <w:lvl w:ilvl="0" w:tplc="67DC00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0068F62E">
      <w:start w:val="1"/>
      <w:numFmt w:val="decimal"/>
      <w:lvlText w:val=""/>
      <w:lvlJc w:val="left"/>
    </w:lvl>
    <w:lvl w:ilvl="2" w:tplc="DF1A8D40">
      <w:start w:val="1"/>
      <w:numFmt w:val="decimal"/>
      <w:lvlText w:val=""/>
      <w:lvlJc w:val="left"/>
    </w:lvl>
    <w:lvl w:ilvl="3" w:tplc="38323D3A">
      <w:start w:val="1"/>
      <w:numFmt w:val="decimal"/>
      <w:lvlText w:val=""/>
      <w:lvlJc w:val="left"/>
    </w:lvl>
    <w:lvl w:ilvl="4" w:tplc="42E80A2A">
      <w:start w:val="1"/>
      <w:numFmt w:val="decimal"/>
      <w:lvlText w:val=""/>
      <w:lvlJc w:val="left"/>
    </w:lvl>
    <w:lvl w:ilvl="5" w:tplc="3740EC0E">
      <w:start w:val="1"/>
      <w:numFmt w:val="decimal"/>
      <w:lvlText w:val=""/>
      <w:lvlJc w:val="left"/>
    </w:lvl>
    <w:lvl w:ilvl="6" w:tplc="5232987E">
      <w:start w:val="1"/>
      <w:numFmt w:val="decimal"/>
      <w:lvlText w:val=""/>
      <w:lvlJc w:val="left"/>
    </w:lvl>
    <w:lvl w:ilvl="7" w:tplc="85B4CC1A">
      <w:start w:val="1"/>
      <w:numFmt w:val="decimal"/>
      <w:lvlText w:val=""/>
      <w:lvlJc w:val="left"/>
    </w:lvl>
    <w:lvl w:ilvl="8" w:tplc="9202D180">
      <w:start w:val="1"/>
      <w:numFmt w:val="decimal"/>
      <w:lvlText w:val=""/>
      <w:lvlJc w:val="left"/>
    </w:lvl>
  </w:abstractNum>
  <w:num w:numId="1" w16cid:durableId="86115837">
    <w:abstractNumId w:val="3"/>
  </w:num>
  <w:num w:numId="2" w16cid:durableId="1336691734">
    <w:abstractNumId w:val="2"/>
  </w:num>
  <w:num w:numId="3" w16cid:durableId="2043706294">
    <w:abstractNumId w:val="1"/>
  </w:num>
  <w:num w:numId="4" w16cid:durableId="478617578">
    <w:abstractNumId w:val="0"/>
  </w:num>
  <w:num w:numId="5" w16cid:durableId="1466193102">
    <w:abstractNumId w:val="3"/>
  </w:num>
  <w:num w:numId="6" w16cid:durableId="505826184">
    <w:abstractNumId w:val="2"/>
  </w:num>
  <w:num w:numId="7" w16cid:durableId="1334332584">
    <w:abstractNumId w:val="1"/>
  </w:num>
  <w:num w:numId="8" w16cid:durableId="1518694160">
    <w:abstractNumId w:val="0"/>
  </w:num>
  <w:num w:numId="9" w16cid:durableId="1894609579">
    <w:abstractNumId w:val="3"/>
  </w:num>
  <w:num w:numId="10" w16cid:durableId="1981379235">
    <w:abstractNumId w:val="2"/>
  </w:num>
  <w:num w:numId="11" w16cid:durableId="2038971395">
    <w:abstractNumId w:val="1"/>
  </w:num>
  <w:num w:numId="12" w16cid:durableId="340864716">
    <w:abstractNumId w:val="0"/>
  </w:num>
  <w:num w:numId="13" w16cid:durableId="446126441">
    <w:abstractNumId w:val="3"/>
  </w:num>
  <w:num w:numId="14" w16cid:durableId="618605814">
    <w:abstractNumId w:val="2"/>
  </w:num>
  <w:num w:numId="15" w16cid:durableId="1815754637">
    <w:abstractNumId w:val="1"/>
  </w:num>
  <w:num w:numId="16" w16cid:durableId="1754010591">
    <w:abstractNumId w:val="0"/>
  </w:num>
  <w:num w:numId="17" w16cid:durableId="1470319362">
    <w:abstractNumId w:val="3"/>
  </w:num>
  <w:num w:numId="18" w16cid:durableId="1554541255">
    <w:abstractNumId w:val="1"/>
  </w:num>
  <w:num w:numId="19" w16cid:durableId="89551248">
    <w:abstractNumId w:val="0"/>
  </w:num>
  <w:num w:numId="20" w16cid:durableId="594166865">
    <w:abstractNumId w:val="6"/>
  </w:num>
  <w:num w:numId="21" w16cid:durableId="410588364">
    <w:abstractNumId w:val="24"/>
  </w:num>
  <w:num w:numId="22" w16cid:durableId="1431195738">
    <w:abstractNumId w:val="22"/>
  </w:num>
  <w:num w:numId="23" w16cid:durableId="1391807335">
    <w:abstractNumId w:val="9"/>
  </w:num>
  <w:num w:numId="24" w16cid:durableId="83036077">
    <w:abstractNumId w:val="14"/>
  </w:num>
  <w:num w:numId="25" w16cid:durableId="158690590">
    <w:abstractNumId w:val="19"/>
  </w:num>
  <w:num w:numId="26" w16cid:durableId="593050663">
    <w:abstractNumId w:val="12"/>
  </w:num>
  <w:num w:numId="27" w16cid:durableId="936138148">
    <w:abstractNumId w:val="7"/>
  </w:num>
  <w:num w:numId="28" w16cid:durableId="278490931">
    <w:abstractNumId w:val="8"/>
  </w:num>
  <w:num w:numId="29" w16cid:durableId="1888100310">
    <w:abstractNumId w:val="23"/>
  </w:num>
  <w:num w:numId="30" w16cid:durableId="1354922711">
    <w:abstractNumId w:val="16"/>
  </w:num>
  <w:num w:numId="31" w16cid:durableId="1596596024">
    <w:abstractNumId w:val="25"/>
  </w:num>
  <w:num w:numId="32" w16cid:durableId="1697727466">
    <w:abstractNumId w:val="20"/>
  </w:num>
  <w:num w:numId="33" w16cid:durableId="616957488">
    <w:abstractNumId w:val="21"/>
  </w:num>
  <w:num w:numId="34" w16cid:durableId="54476573">
    <w:abstractNumId w:val="13"/>
  </w:num>
  <w:num w:numId="35" w16cid:durableId="2121028126">
    <w:abstractNumId w:val="17"/>
  </w:num>
  <w:num w:numId="36" w16cid:durableId="279529747">
    <w:abstractNumId w:val="4"/>
  </w:num>
  <w:num w:numId="37" w16cid:durableId="1020547525">
    <w:abstractNumId w:val="11"/>
  </w:num>
  <w:num w:numId="38" w16cid:durableId="5333944">
    <w:abstractNumId w:val="15"/>
  </w:num>
  <w:num w:numId="39" w16cid:durableId="1651131567">
    <w:abstractNumId w:val="18"/>
  </w:num>
  <w:num w:numId="40" w16cid:durableId="267204466">
    <w:abstractNumId w:val="5"/>
  </w:num>
  <w:num w:numId="41" w16cid:durableId="3740430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75"/>
    <w:rsid w:val="0000031A"/>
    <w:rsid w:val="00001477"/>
    <w:rsid w:val="00007D86"/>
    <w:rsid w:val="00012BDD"/>
    <w:rsid w:val="00013E30"/>
    <w:rsid w:val="00014DBC"/>
    <w:rsid w:val="00017D51"/>
    <w:rsid w:val="00020414"/>
    <w:rsid w:val="0002047A"/>
    <w:rsid w:val="00022E4F"/>
    <w:rsid w:val="00024E22"/>
    <w:rsid w:val="0002569D"/>
    <w:rsid w:val="00026403"/>
    <w:rsid w:val="000335E6"/>
    <w:rsid w:val="000338C1"/>
    <w:rsid w:val="0003535F"/>
    <w:rsid w:val="000362A7"/>
    <w:rsid w:val="00036F2F"/>
    <w:rsid w:val="0004298A"/>
    <w:rsid w:val="000504E2"/>
    <w:rsid w:val="00052CA9"/>
    <w:rsid w:val="00066CD6"/>
    <w:rsid w:val="00067019"/>
    <w:rsid w:val="00071DB9"/>
    <w:rsid w:val="00082C06"/>
    <w:rsid w:val="00084707"/>
    <w:rsid w:val="00090C42"/>
    <w:rsid w:val="00094C6C"/>
    <w:rsid w:val="000A4753"/>
    <w:rsid w:val="000B5759"/>
    <w:rsid w:val="000C0301"/>
    <w:rsid w:val="000C47F4"/>
    <w:rsid w:val="000C5142"/>
    <w:rsid w:val="000C57CD"/>
    <w:rsid w:val="000D5F36"/>
    <w:rsid w:val="000D62FB"/>
    <w:rsid w:val="000D6FEB"/>
    <w:rsid w:val="000D7F7F"/>
    <w:rsid w:val="000E013D"/>
    <w:rsid w:val="000E653A"/>
    <w:rsid w:val="000F3B95"/>
    <w:rsid w:val="000F64B2"/>
    <w:rsid w:val="00101122"/>
    <w:rsid w:val="00101F81"/>
    <w:rsid w:val="00105BE9"/>
    <w:rsid w:val="00105D22"/>
    <w:rsid w:val="00107861"/>
    <w:rsid w:val="001078D3"/>
    <w:rsid w:val="001109F5"/>
    <w:rsid w:val="001117AE"/>
    <w:rsid w:val="00113EDE"/>
    <w:rsid w:val="0011604B"/>
    <w:rsid w:val="00117E1D"/>
    <w:rsid w:val="001266E0"/>
    <w:rsid w:val="0012757A"/>
    <w:rsid w:val="001275D7"/>
    <w:rsid w:val="00127661"/>
    <w:rsid w:val="00137B69"/>
    <w:rsid w:val="00144144"/>
    <w:rsid w:val="0015205C"/>
    <w:rsid w:val="0015244B"/>
    <w:rsid w:val="0015262F"/>
    <w:rsid w:val="001657EC"/>
    <w:rsid w:val="00167725"/>
    <w:rsid w:val="00171DE4"/>
    <w:rsid w:val="00171EA4"/>
    <w:rsid w:val="00172ADB"/>
    <w:rsid w:val="00173006"/>
    <w:rsid w:val="00173113"/>
    <w:rsid w:val="00175A5B"/>
    <w:rsid w:val="00180F7E"/>
    <w:rsid w:val="00182742"/>
    <w:rsid w:val="00192D17"/>
    <w:rsid w:val="00193768"/>
    <w:rsid w:val="00197226"/>
    <w:rsid w:val="001A6518"/>
    <w:rsid w:val="001B3C81"/>
    <w:rsid w:val="001C6636"/>
    <w:rsid w:val="001D144A"/>
    <w:rsid w:val="001D5C24"/>
    <w:rsid w:val="001E1C18"/>
    <w:rsid w:val="001E4A61"/>
    <w:rsid w:val="001E75EA"/>
    <w:rsid w:val="001F2788"/>
    <w:rsid w:val="001F289D"/>
    <w:rsid w:val="001F3493"/>
    <w:rsid w:val="002021CD"/>
    <w:rsid w:val="00206214"/>
    <w:rsid w:val="002168D7"/>
    <w:rsid w:val="00220A9E"/>
    <w:rsid w:val="00226504"/>
    <w:rsid w:val="0023047D"/>
    <w:rsid w:val="00230CF6"/>
    <w:rsid w:val="00231997"/>
    <w:rsid w:val="002428B5"/>
    <w:rsid w:val="0024554A"/>
    <w:rsid w:val="00245565"/>
    <w:rsid w:val="002565D6"/>
    <w:rsid w:val="002652F8"/>
    <w:rsid w:val="00270302"/>
    <w:rsid w:val="00271B7A"/>
    <w:rsid w:val="00271FC7"/>
    <w:rsid w:val="00272694"/>
    <w:rsid w:val="00273BE7"/>
    <w:rsid w:val="00273E74"/>
    <w:rsid w:val="00281832"/>
    <w:rsid w:val="00286AF1"/>
    <w:rsid w:val="002878A0"/>
    <w:rsid w:val="00287B36"/>
    <w:rsid w:val="002924C0"/>
    <w:rsid w:val="00294FEF"/>
    <w:rsid w:val="00295E21"/>
    <w:rsid w:val="002A073F"/>
    <w:rsid w:val="002A1BDF"/>
    <w:rsid w:val="002A6478"/>
    <w:rsid w:val="002C01F0"/>
    <w:rsid w:val="002C52E5"/>
    <w:rsid w:val="002D11EE"/>
    <w:rsid w:val="002D592A"/>
    <w:rsid w:val="002D70CC"/>
    <w:rsid w:val="002E713A"/>
    <w:rsid w:val="002E787C"/>
    <w:rsid w:val="002F0207"/>
    <w:rsid w:val="002F4C01"/>
    <w:rsid w:val="00302B03"/>
    <w:rsid w:val="0030378E"/>
    <w:rsid w:val="00305393"/>
    <w:rsid w:val="0030582B"/>
    <w:rsid w:val="0030793B"/>
    <w:rsid w:val="00310BB1"/>
    <w:rsid w:val="00320D0F"/>
    <w:rsid w:val="00320D4C"/>
    <w:rsid w:val="003220CD"/>
    <w:rsid w:val="00324553"/>
    <w:rsid w:val="00334309"/>
    <w:rsid w:val="00334449"/>
    <w:rsid w:val="0033466A"/>
    <w:rsid w:val="00341157"/>
    <w:rsid w:val="00341C27"/>
    <w:rsid w:val="00345E41"/>
    <w:rsid w:val="00354948"/>
    <w:rsid w:val="00356292"/>
    <w:rsid w:val="00361D16"/>
    <w:rsid w:val="00362239"/>
    <w:rsid w:val="003660AC"/>
    <w:rsid w:val="00367498"/>
    <w:rsid w:val="003745BD"/>
    <w:rsid w:val="00381B11"/>
    <w:rsid w:val="00381E4A"/>
    <w:rsid w:val="00383142"/>
    <w:rsid w:val="00386CE4"/>
    <w:rsid w:val="003940A0"/>
    <w:rsid w:val="003A678E"/>
    <w:rsid w:val="003A7AA9"/>
    <w:rsid w:val="003B6A43"/>
    <w:rsid w:val="003C0179"/>
    <w:rsid w:val="003C540D"/>
    <w:rsid w:val="003D0D53"/>
    <w:rsid w:val="003D301F"/>
    <w:rsid w:val="003D31D4"/>
    <w:rsid w:val="003D5D14"/>
    <w:rsid w:val="003E1FD4"/>
    <w:rsid w:val="003E2FED"/>
    <w:rsid w:val="003E4570"/>
    <w:rsid w:val="003E59EE"/>
    <w:rsid w:val="003E6457"/>
    <w:rsid w:val="003E6550"/>
    <w:rsid w:val="003F14CC"/>
    <w:rsid w:val="003F1C19"/>
    <w:rsid w:val="003F4E31"/>
    <w:rsid w:val="003F4F9B"/>
    <w:rsid w:val="003F58A9"/>
    <w:rsid w:val="004008EE"/>
    <w:rsid w:val="00401AB7"/>
    <w:rsid w:val="00406C68"/>
    <w:rsid w:val="00411D00"/>
    <w:rsid w:val="00411DF7"/>
    <w:rsid w:val="00413D35"/>
    <w:rsid w:val="004168E2"/>
    <w:rsid w:val="00424A58"/>
    <w:rsid w:val="004268AD"/>
    <w:rsid w:val="00427B49"/>
    <w:rsid w:val="00431DE3"/>
    <w:rsid w:val="00434584"/>
    <w:rsid w:val="0043679C"/>
    <w:rsid w:val="00437148"/>
    <w:rsid w:val="00441477"/>
    <w:rsid w:val="0044290C"/>
    <w:rsid w:val="0044419A"/>
    <w:rsid w:val="004454DE"/>
    <w:rsid w:val="00446B57"/>
    <w:rsid w:val="0045299C"/>
    <w:rsid w:val="00455D80"/>
    <w:rsid w:val="004563BD"/>
    <w:rsid w:val="00456BA6"/>
    <w:rsid w:val="004574A8"/>
    <w:rsid w:val="0046229F"/>
    <w:rsid w:val="004657EB"/>
    <w:rsid w:val="00466BBD"/>
    <w:rsid w:val="00467771"/>
    <w:rsid w:val="00475067"/>
    <w:rsid w:val="00475E60"/>
    <w:rsid w:val="00480304"/>
    <w:rsid w:val="00490A2E"/>
    <w:rsid w:val="00491AC7"/>
    <w:rsid w:val="004932CC"/>
    <w:rsid w:val="00495193"/>
    <w:rsid w:val="00495B95"/>
    <w:rsid w:val="004A03E9"/>
    <w:rsid w:val="004A132C"/>
    <w:rsid w:val="004A1C70"/>
    <w:rsid w:val="004A3D64"/>
    <w:rsid w:val="004A576B"/>
    <w:rsid w:val="004B140E"/>
    <w:rsid w:val="004B5B9F"/>
    <w:rsid w:val="004C24D8"/>
    <w:rsid w:val="004C701F"/>
    <w:rsid w:val="004C767C"/>
    <w:rsid w:val="004E0BDC"/>
    <w:rsid w:val="004E73E7"/>
    <w:rsid w:val="004F11B8"/>
    <w:rsid w:val="004F4477"/>
    <w:rsid w:val="005016E7"/>
    <w:rsid w:val="0050740F"/>
    <w:rsid w:val="00514640"/>
    <w:rsid w:val="005167B2"/>
    <w:rsid w:val="00517FC3"/>
    <w:rsid w:val="00521D78"/>
    <w:rsid w:val="00525131"/>
    <w:rsid w:val="005278FA"/>
    <w:rsid w:val="0053213B"/>
    <w:rsid w:val="00534C78"/>
    <w:rsid w:val="00543094"/>
    <w:rsid w:val="00552240"/>
    <w:rsid w:val="00554CAA"/>
    <w:rsid w:val="00554E3D"/>
    <w:rsid w:val="00555E65"/>
    <w:rsid w:val="00561A33"/>
    <w:rsid w:val="00567F4D"/>
    <w:rsid w:val="0057047E"/>
    <w:rsid w:val="00571373"/>
    <w:rsid w:val="00571E39"/>
    <w:rsid w:val="00572F25"/>
    <w:rsid w:val="00580D99"/>
    <w:rsid w:val="00580DCF"/>
    <w:rsid w:val="0058315F"/>
    <w:rsid w:val="00585EC7"/>
    <w:rsid w:val="005976F8"/>
    <w:rsid w:val="005A0BCE"/>
    <w:rsid w:val="005A1CEA"/>
    <w:rsid w:val="005A24E6"/>
    <w:rsid w:val="005A39DF"/>
    <w:rsid w:val="005A717F"/>
    <w:rsid w:val="005B50D9"/>
    <w:rsid w:val="005B6844"/>
    <w:rsid w:val="005B7BB4"/>
    <w:rsid w:val="005C08C8"/>
    <w:rsid w:val="005C3011"/>
    <w:rsid w:val="005C30D4"/>
    <w:rsid w:val="005C43E5"/>
    <w:rsid w:val="005C603E"/>
    <w:rsid w:val="005D0A94"/>
    <w:rsid w:val="005D2D13"/>
    <w:rsid w:val="005D501F"/>
    <w:rsid w:val="005E43DC"/>
    <w:rsid w:val="005E5D69"/>
    <w:rsid w:val="005F0C32"/>
    <w:rsid w:val="005F202D"/>
    <w:rsid w:val="005F4AC6"/>
    <w:rsid w:val="00612190"/>
    <w:rsid w:val="0061334E"/>
    <w:rsid w:val="00623DA9"/>
    <w:rsid w:val="00625F76"/>
    <w:rsid w:val="0062603E"/>
    <w:rsid w:val="00626C0B"/>
    <w:rsid w:val="00627BF6"/>
    <w:rsid w:val="00632A60"/>
    <w:rsid w:val="00634FDC"/>
    <w:rsid w:val="00635B70"/>
    <w:rsid w:val="006376B1"/>
    <w:rsid w:val="00637970"/>
    <w:rsid w:val="00644580"/>
    <w:rsid w:val="00644B1A"/>
    <w:rsid w:val="00646744"/>
    <w:rsid w:val="006516B5"/>
    <w:rsid w:val="00652611"/>
    <w:rsid w:val="00652F65"/>
    <w:rsid w:val="00654CC5"/>
    <w:rsid w:val="006607CA"/>
    <w:rsid w:val="00666E80"/>
    <w:rsid w:val="0067089B"/>
    <w:rsid w:val="00681CE2"/>
    <w:rsid w:val="00684240"/>
    <w:rsid w:val="00686379"/>
    <w:rsid w:val="006A4CF0"/>
    <w:rsid w:val="006B1890"/>
    <w:rsid w:val="006B35CC"/>
    <w:rsid w:val="006B41EE"/>
    <w:rsid w:val="006B4594"/>
    <w:rsid w:val="006B7A2E"/>
    <w:rsid w:val="006C55BA"/>
    <w:rsid w:val="006C6A49"/>
    <w:rsid w:val="006D0399"/>
    <w:rsid w:val="006E6558"/>
    <w:rsid w:val="006E7BCD"/>
    <w:rsid w:val="006E7CE4"/>
    <w:rsid w:val="006F032E"/>
    <w:rsid w:val="006F3D82"/>
    <w:rsid w:val="00700422"/>
    <w:rsid w:val="007016F1"/>
    <w:rsid w:val="00703033"/>
    <w:rsid w:val="00706586"/>
    <w:rsid w:val="0071026F"/>
    <w:rsid w:val="00715158"/>
    <w:rsid w:val="00715BF0"/>
    <w:rsid w:val="007272A3"/>
    <w:rsid w:val="007315E3"/>
    <w:rsid w:val="007327A9"/>
    <w:rsid w:val="00732905"/>
    <w:rsid w:val="0073378F"/>
    <w:rsid w:val="00733C7F"/>
    <w:rsid w:val="007343A0"/>
    <w:rsid w:val="0073574F"/>
    <w:rsid w:val="007468B0"/>
    <w:rsid w:val="00747FF7"/>
    <w:rsid w:val="00751187"/>
    <w:rsid w:val="00754CFC"/>
    <w:rsid w:val="00760277"/>
    <w:rsid w:val="00763FF3"/>
    <w:rsid w:val="007654A9"/>
    <w:rsid w:val="007708B7"/>
    <w:rsid w:val="007708D8"/>
    <w:rsid w:val="007715B0"/>
    <w:rsid w:val="007752E9"/>
    <w:rsid w:val="00776A1E"/>
    <w:rsid w:val="00780E08"/>
    <w:rsid w:val="007906BE"/>
    <w:rsid w:val="00791B61"/>
    <w:rsid w:val="007956E6"/>
    <w:rsid w:val="007A159A"/>
    <w:rsid w:val="007A22A9"/>
    <w:rsid w:val="007B1416"/>
    <w:rsid w:val="007C5A4B"/>
    <w:rsid w:val="007C7B75"/>
    <w:rsid w:val="007F14A1"/>
    <w:rsid w:val="007F462B"/>
    <w:rsid w:val="00801AE7"/>
    <w:rsid w:val="0080267D"/>
    <w:rsid w:val="00805EAA"/>
    <w:rsid w:val="00812CAA"/>
    <w:rsid w:val="00815435"/>
    <w:rsid w:val="00821851"/>
    <w:rsid w:val="008235F1"/>
    <w:rsid w:val="0082362C"/>
    <w:rsid w:val="008249F1"/>
    <w:rsid w:val="008269BB"/>
    <w:rsid w:val="00833478"/>
    <w:rsid w:val="0083512E"/>
    <w:rsid w:val="00840297"/>
    <w:rsid w:val="008418DB"/>
    <w:rsid w:val="008453F3"/>
    <w:rsid w:val="00846DDD"/>
    <w:rsid w:val="00852BA3"/>
    <w:rsid w:val="0085387E"/>
    <w:rsid w:val="00857BA8"/>
    <w:rsid w:val="00861885"/>
    <w:rsid w:val="00861A38"/>
    <w:rsid w:val="00862D5B"/>
    <w:rsid w:val="008743F7"/>
    <w:rsid w:val="00880F4F"/>
    <w:rsid w:val="008926B0"/>
    <w:rsid w:val="0089504E"/>
    <w:rsid w:val="008951F2"/>
    <w:rsid w:val="008A414C"/>
    <w:rsid w:val="008A5B8B"/>
    <w:rsid w:val="008A64D3"/>
    <w:rsid w:val="008A77E9"/>
    <w:rsid w:val="008B3032"/>
    <w:rsid w:val="008B3285"/>
    <w:rsid w:val="008B5BDA"/>
    <w:rsid w:val="008C27F5"/>
    <w:rsid w:val="008C5169"/>
    <w:rsid w:val="008C7645"/>
    <w:rsid w:val="008D0810"/>
    <w:rsid w:val="008D2E6F"/>
    <w:rsid w:val="008D50E1"/>
    <w:rsid w:val="008E0E74"/>
    <w:rsid w:val="008E1D3B"/>
    <w:rsid w:val="008E212E"/>
    <w:rsid w:val="008F098B"/>
    <w:rsid w:val="0090213B"/>
    <w:rsid w:val="00903122"/>
    <w:rsid w:val="00914085"/>
    <w:rsid w:val="00925863"/>
    <w:rsid w:val="00927E9D"/>
    <w:rsid w:val="009300F7"/>
    <w:rsid w:val="009312C6"/>
    <w:rsid w:val="009329FE"/>
    <w:rsid w:val="00940229"/>
    <w:rsid w:val="00943334"/>
    <w:rsid w:val="00943C06"/>
    <w:rsid w:val="009443AB"/>
    <w:rsid w:val="009449BB"/>
    <w:rsid w:val="00945E50"/>
    <w:rsid w:val="0095063D"/>
    <w:rsid w:val="00951451"/>
    <w:rsid w:val="00957E3F"/>
    <w:rsid w:val="00961269"/>
    <w:rsid w:val="0096171B"/>
    <w:rsid w:val="00961D22"/>
    <w:rsid w:val="0096206F"/>
    <w:rsid w:val="00966916"/>
    <w:rsid w:val="00971B1A"/>
    <w:rsid w:val="00974322"/>
    <w:rsid w:val="00974D68"/>
    <w:rsid w:val="0097769F"/>
    <w:rsid w:val="009824EB"/>
    <w:rsid w:val="009906B1"/>
    <w:rsid w:val="00992E37"/>
    <w:rsid w:val="0099768C"/>
    <w:rsid w:val="009A3BDF"/>
    <w:rsid w:val="009A5D6E"/>
    <w:rsid w:val="009B5712"/>
    <w:rsid w:val="009B647F"/>
    <w:rsid w:val="009B6596"/>
    <w:rsid w:val="009B6A5A"/>
    <w:rsid w:val="009C1657"/>
    <w:rsid w:val="009D24D4"/>
    <w:rsid w:val="009E579A"/>
    <w:rsid w:val="009F1775"/>
    <w:rsid w:val="009F3DD1"/>
    <w:rsid w:val="009F7A37"/>
    <w:rsid w:val="00A03494"/>
    <w:rsid w:val="00A053B3"/>
    <w:rsid w:val="00A13A77"/>
    <w:rsid w:val="00A14B1D"/>
    <w:rsid w:val="00A15234"/>
    <w:rsid w:val="00A20E7D"/>
    <w:rsid w:val="00A21C76"/>
    <w:rsid w:val="00A25C34"/>
    <w:rsid w:val="00A33589"/>
    <w:rsid w:val="00A33C84"/>
    <w:rsid w:val="00A344C2"/>
    <w:rsid w:val="00A41F16"/>
    <w:rsid w:val="00A4483A"/>
    <w:rsid w:val="00A45121"/>
    <w:rsid w:val="00A535DA"/>
    <w:rsid w:val="00A607A5"/>
    <w:rsid w:val="00A61936"/>
    <w:rsid w:val="00A63C72"/>
    <w:rsid w:val="00A654A9"/>
    <w:rsid w:val="00A67051"/>
    <w:rsid w:val="00A67C26"/>
    <w:rsid w:val="00A732FC"/>
    <w:rsid w:val="00A90163"/>
    <w:rsid w:val="00A9170A"/>
    <w:rsid w:val="00A91A78"/>
    <w:rsid w:val="00A963C0"/>
    <w:rsid w:val="00A978A7"/>
    <w:rsid w:val="00AA5A66"/>
    <w:rsid w:val="00AB64A7"/>
    <w:rsid w:val="00AB699C"/>
    <w:rsid w:val="00AC1796"/>
    <w:rsid w:val="00AC17BC"/>
    <w:rsid w:val="00AC2A12"/>
    <w:rsid w:val="00AD2D1C"/>
    <w:rsid w:val="00AE2716"/>
    <w:rsid w:val="00AE3B1E"/>
    <w:rsid w:val="00AF5FC3"/>
    <w:rsid w:val="00B23A60"/>
    <w:rsid w:val="00B30A16"/>
    <w:rsid w:val="00B3465C"/>
    <w:rsid w:val="00B36DE1"/>
    <w:rsid w:val="00B401AB"/>
    <w:rsid w:val="00B4506A"/>
    <w:rsid w:val="00B50170"/>
    <w:rsid w:val="00B51DCF"/>
    <w:rsid w:val="00B523AD"/>
    <w:rsid w:val="00B524F2"/>
    <w:rsid w:val="00B7056C"/>
    <w:rsid w:val="00B71210"/>
    <w:rsid w:val="00B71C64"/>
    <w:rsid w:val="00B7302C"/>
    <w:rsid w:val="00B73846"/>
    <w:rsid w:val="00B743D0"/>
    <w:rsid w:val="00B7507E"/>
    <w:rsid w:val="00B75517"/>
    <w:rsid w:val="00B85CF0"/>
    <w:rsid w:val="00BA1B86"/>
    <w:rsid w:val="00BA43B6"/>
    <w:rsid w:val="00BA66B1"/>
    <w:rsid w:val="00BB12F7"/>
    <w:rsid w:val="00BB5D0B"/>
    <w:rsid w:val="00BB60DD"/>
    <w:rsid w:val="00BB6A58"/>
    <w:rsid w:val="00BC0731"/>
    <w:rsid w:val="00BC44BF"/>
    <w:rsid w:val="00BC7A37"/>
    <w:rsid w:val="00BD14D6"/>
    <w:rsid w:val="00BD4C61"/>
    <w:rsid w:val="00BD6BD5"/>
    <w:rsid w:val="00BD7A14"/>
    <w:rsid w:val="00BE0232"/>
    <w:rsid w:val="00BE0290"/>
    <w:rsid w:val="00BE077E"/>
    <w:rsid w:val="00BE7F33"/>
    <w:rsid w:val="00BF3986"/>
    <w:rsid w:val="00BF4A4D"/>
    <w:rsid w:val="00C01854"/>
    <w:rsid w:val="00C10CB6"/>
    <w:rsid w:val="00C12EF3"/>
    <w:rsid w:val="00C14146"/>
    <w:rsid w:val="00C14A27"/>
    <w:rsid w:val="00C25096"/>
    <w:rsid w:val="00C34F7B"/>
    <w:rsid w:val="00C36447"/>
    <w:rsid w:val="00C37424"/>
    <w:rsid w:val="00C37C63"/>
    <w:rsid w:val="00C40053"/>
    <w:rsid w:val="00C40253"/>
    <w:rsid w:val="00C41217"/>
    <w:rsid w:val="00C415AC"/>
    <w:rsid w:val="00C420C5"/>
    <w:rsid w:val="00C42A60"/>
    <w:rsid w:val="00C439A5"/>
    <w:rsid w:val="00C448FC"/>
    <w:rsid w:val="00C47C11"/>
    <w:rsid w:val="00C50091"/>
    <w:rsid w:val="00C519E6"/>
    <w:rsid w:val="00C561DF"/>
    <w:rsid w:val="00C57682"/>
    <w:rsid w:val="00C57D32"/>
    <w:rsid w:val="00C6270A"/>
    <w:rsid w:val="00C64CB9"/>
    <w:rsid w:val="00C66096"/>
    <w:rsid w:val="00C71EE3"/>
    <w:rsid w:val="00C71FF5"/>
    <w:rsid w:val="00C76484"/>
    <w:rsid w:val="00C77518"/>
    <w:rsid w:val="00C84088"/>
    <w:rsid w:val="00C841D9"/>
    <w:rsid w:val="00C844F6"/>
    <w:rsid w:val="00C84C53"/>
    <w:rsid w:val="00C856EF"/>
    <w:rsid w:val="00C87014"/>
    <w:rsid w:val="00C97BE7"/>
    <w:rsid w:val="00CA0C15"/>
    <w:rsid w:val="00CA4B12"/>
    <w:rsid w:val="00CB5E56"/>
    <w:rsid w:val="00CB689E"/>
    <w:rsid w:val="00CC0750"/>
    <w:rsid w:val="00CC4BD0"/>
    <w:rsid w:val="00CC56DF"/>
    <w:rsid w:val="00CC5E78"/>
    <w:rsid w:val="00CC7973"/>
    <w:rsid w:val="00CD0E7A"/>
    <w:rsid w:val="00CD426C"/>
    <w:rsid w:val="00CD78F1"/>
    <w:rsid w:val="00CE677D"/>
    <w:rsid w:val="00CF1E66"/>
    <w:rsid w:val="00CF4565"/>
    <w:rsid w:val="00CF5ADB"/>
    <w:rsid w:val="00D021D2"/>
    <w:rsid w:val="00D04DDB"/>
    <w:rsid w:val="00D07456"/>
    <w:rsid w:val="00D10D89"/>
    <w:rsid w:val="00D24DE2"/>
    <w:rsid w:val="00D25289"/>
    <w:rsid w:val="00D40547"/>
    <w:rsid w:val="00D454DE"/>
    <w:rsid w:val="00D5117C"/>
    <w:rsid w:val="00D51E45"/>
    <w:rsid w:val="00D52756"/>
    <w:rsid w:val="00D55854"/>
    <w:rsid w:val="00D63731"/>
    <w:rsid w:val="00D655EE"/>
    <w:rsid w:val="00D85889"/>
    <w:rsid w:val="00D85F21"/>
    <w:rsid w:val="00D90538"/>
    <w:rsid w:val="00D9315F"/>
    <w:rsid w:val="00D96665"/>
    <w:rsid w:val="00DA1EFB"/>
    <w:rsid w:val="00DA682F"/>
    <w:rsid w:val="00DA710F"/>
    <w:rsid w:val="00DB1FD8"/>
    <w:rsid w:val="00DB2DEC"/>
    <w:rsid w:val="00DB3CC0"/>
    <w:rsid w:val="00DB517E"/>
    <w:rsid w:val="00DC3A55"/>
    <w:rsid w:val="00DC3D01"/>
    <w:rsid w:val="00DC6D74"/>
    <w:rsid w:val="00DD196B"/>
    <w:rsid w:val="00DD39B8"/>
    <w:rsid w:val="00DD44B9"/>
    <w:rsid w:val="00DD5936"/>
    <w:rsid w:val="00DE10DB"/>
    <w:rsid w:val="00DE5D8B"/>
    <w:rsid w:val="00DF491F"/>
    <w:rsid w:val="00DF6330"/>
    <w:rsid w:val="00E01D30"/>
    <w:rsid w:val="00E03351"/>
    <w:rsid w:val="00E06320"/>
    <w:rsid w:val="00E0691B"/>
    <w:rsid w:val="00E17D88"/>
    <w:rsid w:val="00E21009"/>
    <w:rsid w:val="00E253BC"/>
    <w:rsid w:val="00E26835"/>
    <w:rsid w:val="00E27522"/>
    <w:rsid w:val="00E3204B"/>
    <w:rsid w:val="00E32D7F"/>
    <w:rsid w:val="00E32F9E"/>
    <w:rsid w:val="00E35670"/>
    <w:rsid w:val="00E51957"/>
    <w:rsid w:val="00E54EC4"/>
    <w:rsid w:val="00E60436"/>
    <w:rsid w:val="00E60F7F"/>
    <w:rsid w:val="00E6172E"/>
    <w:rsid w:val="00E67E20"/>
    <w:rsid w:val="00E7181A"/>
    <w:rsid w:val="00E719F2"/>
    <w:rsid w:val="00E73FF2"/>
    <w:rsid w:val="00E76B21"/>
    <w:rsid w:val="00E80B0C"/>
    <w:rsid w:val="00E81831"/>
    <w:rsid w:val="00E82D33"/>
    <w:rsid w:val="00E9652B"/>
    <w:rsid w:val="00EA0DCD"/>
    <w:rsid w:val="00EA2445"/>
    <w:rsid w:val="00EA2B1C"/>
    <w:rsid w:val="00EA4062"/>
    <w:rsid w:val="00EB15BF"/>
    <w:rsid w:val="00EB1718"/>
    <w:rsid w:val="00EB3811"/>
    <w:rsid w:val="00EC3A2E"/>
    <w:rsid w:val="00EC7CAF"/>
    <w:rsid w:val="00ED14D4"/>
    <w:rsid w:val="00ED403A"/>
    <w:rsid w:val="00ED648B"/>
    <w:rsid w:val="00EE3360"/>
    <w:rsid w:val="00EE3ABF"/>
    <w:rsid w:val="00EE519F"/>
    <w:rsid w:val="00EE5C79"/>
    <w:rsid w:val="00EF25F5"/>
    <w:rsid w:val="00EF4524"/>
    <w:rsid w:val="00EF6991"/>
    <w:rsid w:val="00F02855"/>
    <w:rsid w:val="00F04786"/>
    <w:rsid w:val="00F133F3"/>
    <w:rsid w:val="00F13777"/>
    <w:rsid w:val="00F13E5F"/>
    <w:rsid w:val="00F14C64"/>
    <w:rsid w:val="00F2754A"/>
    <w:rsid w:val="00F32EF7"/>
    <w:rsid w:val="00F348D7"/>
    <w:rsid w:val="00F47857"/>
    <w:rsid w:val="00F654A4"/>
    <w:rsid w:val="00F71601"/>
    <w:rsid w:val="00F73F04"/>
    <w:rsid w:val="00F76A34"/>
    <w:rsid w:val="00F825E1"/>
    <w:rsid w:val="00F831BF"/>
    <w:rsid w:val="00F8376A"/>
    <w:rsid w:val="00F87103"/>
    <w:rsid w:val="00F871BE"/>
    <w:rsid w:val="00F87251"/>
    <w:rsid w:val="00F922CF"/>
    <w:rsid w:val="00F9476C"/>
    <w:rsid w:val="00FA0A90"/>
    <w:rsid w:val="00FA1614"/>
    <w:rsid w:val="00FA7F7E"/>
    <w:rsid w:val="00FB0DB3"/>
    <w:rsid w:val="00FB37B3"/>
    <w:rsid w:val="00FB3C18"/>
    <w:rsid w:val="00FB44DA"/>
    <w:rsid w:val="00FB4794"/>
    <w:rsid w:val="00FB5D0D"/>
    <w:rsid w:val="00FC10F3"/>
    <w:rsid w:val="00FC6444"/>
    <w:rsid w:val="00FD1E2A"/>
    <w:rsid w:val="00FD233B"/>
    <w:rsid w:val="00FD2880"/>
    <w:rsid w:val="00FD4353"/>
    <w:rsid w:val="00FD48A3"/>
    <w:rsid w:val="00FE0C49"/>
    <w:rsid w:val="00FE5F9A"/>
    <w:rsid w:val="00FE7F2A"/>
    <w:rsid w:val="00FF1DAA"/>
    <w:rsid w:val="00FF3A57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5FB4C"/>
  <w15:docId w15:val="{A97C46CA-5D05-4BCF-94B7-0FC87CFA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7F"/>
    <w:pPr>
      <w:spacing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B70"/>
    <w:pPr>
      <w:spacing w:line="240" w:lineRule="auto"/>
      <w:ind w:firstLine="0"/>
      <w:jc w:val="center"/>
      <w:outlineLvl w:val="0"/>
    </w:pPr>
    <w:rPr>
      <w:b/>
      <w:caps/>
      <w:spacing w:val="60"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635B70"/>
    <w:pPr>
      <w:spacing w:line="240" w:lineRule="auto"/>
      <w:ind w:firstLine="0"/>
      <w:jc w:val="center"/>
      <w:outlineLvl w:val="1"/>
    </w:pPr>
    <w:rPr>
      <w:b/>
      <w:caps/>
      <w:sz w:val="24"/>
      <w:szCs w:val="28"/>
    </w:rPr>
  </w:style>
  <w:style w:type="paragraph" w:styleId="3">
    <w:name w:val="heading 3"/>
    <w:basedOn w:val="a"/>
    <w:next w:val="a"/>
    <w:link w:val="30"/>
    <w:uiPriority w:val="9"/>
    <w:qFormat/>
    <w:rsid w:val="00635B70"/>
    <w:pPr>
      <w:spacing w:line="240" w:lineRule="auto"/>
      <w:ind w:firstLine="0"/>
      <w:jc w:val="center"/>
      <w:outlineLvl w:val="2"/>
    </w:pPr>
    <w:rPr>
      <w:b/>
      <w:sz w:val="24"/>
      <w:szCs w:val="28"/>
    </w:rPr>
  </w:style>
  <w:style w:type="paragraph" w:styleId="4">
    <w:name w:val="heading 4"/>
    <w:basedOn w:val="a"/>
    <w:next w:val="a"/>
    <w:link w:val="40"/>
    <w:uiPriority w:val="9"/>
    <w:qFormat/>
    <w:rsid w:val="007C7B75"/>
    <w:pPr>
      <w:keepNext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rsid w:val="007C7B75"/>
    <w:pPr>
      <w:keepNext/>
      <w:jc w:val="center"/>
      <w:outlineLvl w:val="4"/>
    </w:pPr>
    <w:rPr>
      <w:color w:val="000000"/>
    </w:rPr>
  </w:style>
  <w:style w:type="paragraph" w:styleId="6">
    <w:name w:val="heading 6"/>
    <w:basedOn w:val="a"/>
    <w:next w:val="a"/>
    <w:link w:val="60"/>
    <w:uiPriority w:val="9"/>
    <w:qFormat/>
    <w:rsid w:val="007C7B75"/>
    <w:pPr>
      <w:keepNext/>
      <w:widowControl w:val="0"/>
      <w:outlineLvl w:val="5"/>
    </w:pPr>
    <w:rPr>
      <w:color w:val="FF0000"/>
    </w:rPr>
  </w:style>
  <w:style w:type="paragraph" w:styleId="7">
    <w:name w:val="heading 7"/>
    <w:basedOn w:val="a"/>
    <w:next w:val="a"/>
    <w:link w:val="70"/>
    <w:uiPriority w:val="9"/>
    <w:qFormat/>
    <w:rsid w:val="007C7B75"/>
    <w:pPr>
      <w:keepNext/>
      <w:widowControl w:val="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7C7B75"/>
    <w:pPr>
      <w:keepNext/>
      <w:widowControl w:val="0"/>
      <w:jc w:val="center"/>
      <w:outlineLvl w:val="7"/>
    </w:pPr>
    <w:rPr>
      <w:color w:val="FF0000"/>
    </w:rPr>
  </w:style>
  <w:style w:type="paragraph" w:styleId="9">
    <w:name w:val="heading 9"/>
    <w:basedOn w:val="a"/>
    <w:next w:val="a"/>
    <w:link w:val="90"/>
    <w:uiPriority w:val="9"/>
    <w:qFormat/>
    <w:rsid w:val="007C7B75"/>
    <w:pPr>
      <w:keepNext/>
      <w:widowControl w:val="0"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35B70"/>
    <w:rPr>
      <w:b/>
      <w:caps/>
      <w:spacing w:val="60"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635B70"/>
    <w:rPr>
      <w:b/>
      <w:cap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635B70"/>
    <w:rPr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7C7B75"/>
    <w:rPr>
      <w:rFonts w:cs="Times New Roman"/>
      <w:b/>
      <w:sz w:val="32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locked/>
    <w:rsid w:val="007C7B75"/>
    <w:rPr>
      <w:rFonts w:cs="Times New Roman"/>
      <w:snapToGrid w:val="0"/>
      <w:sz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locked/>
    <w:rsid w:val="007C7B75"/>
    <w:rPr>
      <w:rFonts w:cs="Times New Roman"/>
      <w:snapToGrid w:val="0"/>
      <w:sz w:val="28"/>
      <w:lang w:val="ru-RU" w:eastAsia="ru-RU"/>
    </w:rPr>
  </w:style>
  <w:style w:type="paragraph" w:customStyle="1" w:styleId="Char">
    <w:name w:val="Char Знак Знак Знак Знак Знак Знак"/>
    <w:basedOn w:val="a"/>
    <w:uiPriority w:val="99"/>
    <w:rsid w:val="007C7B75"/>
    <w:pPr>
      <w:widowControl w:val="0"/>
      <w:adjustRightInd w:val="0"/>
      <w:spacing w:after="160" w:line="240" w:lineRule="exact"/>
      <w:ind w:firstLine="0"/>
      <w:jc w:val="right"/>
    </w:pPr>
    <w:rPr>
      <w:szCs w:val="28"/>
      <w:lang w:eastAsia="en-US"/>
    </w:rPr>
  </w:style>
  <w:style w:type="paragraph" w:customStyle="1" w:styleId="21">
    <w:name w:val="Стиль Заголовок 2 + Авто все прописные"/>
    <w:basedOn w:val="2"/>
    <w:link w:val="22"/>
    <w:uiPriority w:val="99"/>
    <w:rsid w:val="007C7B75"/>
  </w:style>
  <w:style w:type="character" w:customStyle="1" w:styleId="22">
    <w:name w:val="Стиль Заголовок 2 + Авто все прописные Знак"/>
    <w:basedOn w:val="20"/>
    <w:link w:val="21"/>
    <w:uiPriority w:val="99"/>
    <w:locked/>
    <w:rsid w:val="007C7B75"/>
    <w:rPr>
      <w:rFonts w:cs="Times New Roman"/>
      <w:b/>
      <w:caps/>
      <w:snapToGrid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uiPriority w:val="99"/>
    <w:rsid w:val="007C7B75"/>
    <w:pPr>
      <w:widowControl w:val="0"/>
      <w:ind w:firstLine="2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C7B75"/>
    <w:rPr>
      <w:rFonts w:cs="Times New Roman"/>
      <w:snapToGrid w:val="0"/>
      <w:sz w:val="24"/>
      <w:lang w:val="ru-RU" w:eastAsia="ru-RU"/>
    </w:rPr>
  </w:style>
  <w:style w:type="paragraph" w:styleId="23">
    <w:name w:val="Body Text Indent 2"/>
    <w:basedOn w:val="a"/>
    <w:link w:val="24"/>
    <w:rsid w:val="007C7B75"/>
    <w:pPr>
      <w:widowControl w:val="0"/>
      <w:ind w:firstLine="488"/>
    </w:pPr>
    <w:rPr>
      <w:color w:val="000000"/>
    </w:rPr>
  </w:style>
  <w:style w:type="character" w:customStyle="1" w:styleId="24">
    <w:name w:val="Основной текст с отступом 2 Знак"/>
    <w:basedOn w:val="a0"/>
    <w:link w:val="23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paragraph" w:styleId="a5">
    <w:name w:val="header"/>
    <w:basedOn w:val="a"/>
    <w:link w:val="a6"/>
    <w:uiPriority w:val="99"/>
    <w:rsid w:val="008418DB"/>
    <w:pPr>
      <w:spacing w:after="120"/>
      <w:ind w:firstLine="0"/>
    </w:pPr>
  </w:style>
  <w:style w:type="character" w:customStyle="1" w:styleId="a6">
    <w:name w:val="Верхний колонтитул Знак"/>
    <w:basedOn w:val="a0"/>
    <w:link w:val="a5"/>
    <w:uiPriority w:val="99"/>
    <w:qFormat/>
    <w:locked/>
    <w:rsid w:val="008418DB"/>
    <w:rPr>
      <w:rFonts w:cs="Times New Roman"/>
      <w:sz w:val="28"/>
    </w:rPr>
  </w:style>
  <w:style w:type="character" w:styleId="a7">
    <w:name w:val="page number"/>
    <w:basedOn w:val="a0"/>
    <w:uiPriority w:val="99"/>
    <w:rsid w:val="007C7B75"/>
    <w:rPr>
      <w:rFonts w:cs="Times New Roman"/>
      <w:sz w:val="28"/>
      <w:lang w:val="ru-RU" w:eastAsia="en-US"/>
    </w:rPr>
  </w:style>
  <w:style w:type="paragraph" w:styleId="31">
    <w:name w:val="Body Text Indent 3"/>
    <w:basedOn w:val="a"/>
    <w:link w:val="32"/>
    <w:uiPriority w:val="99"/>
    <w:rsid w:val="007C7B75"/>
    <w:pPr>
      <w:widowControl w:val="0"/>
    </w:p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7B75"/>
    <w:rPr>
      <w:rFonts w:cs="Times New Roman"/>
      <w:snapToGrid w:val="0"/>
      <w:sz w:val="28"/>
      <w:lang w:val="ru-RU" w:eastAsia="ru-RU"/>
    </w:rPr>
  </w:style>
  <w:style w:type="paragraph" w:styleId="a8">
    <w:name w:val="Body Text"/>
    <w:basedOn w:val="a"/>
    <w:link w:val="a9"/>
    <w:rsid w:val="007C7B75"/>
  </w:style>
  <w:style w:type="character" w:customStyle="1" w:styleId="a9">
    <w:name w:val="Основной текст Знак"/>
    <w:basedOn w:val="a0"/>
    <w:link w:val="a8"/>
    <w:qFormat/>
    <w:locked/>
    <w:rsid w:val="007C7B75"/>
    <w:rPr>
      <w:rFonts w:cs="Times New Roman"/>
      <w:sz w:val="28"/>
      <w:lang w:val="ru-RU" w:eastAsia="ru-RU"/>
    </w:rPr>
  </w:style>
  <w:style w:type="paragraph" w:styleId="25">
    <w:name w:val="Body Text 2"/>
    <w:basedOn w:val="a"/>
    <w:link w:val="26"/>
    <w:uiPriority w:val="99"/>
    <w:rsid w:val="007C7B75"/>
    <w:rPr>
      <w:rFonts w:ascii="Arial" w:hAnsi="Arial"/>
      <w:color w:val="FF0000"/>
    </w:rPr>
  </w:style>
  <w:style w:type="character" w:customStyle="1" w:styleId="26">
    <w:name w:val="Основной текст 2 Знак"/>
    <w:basedOn w:val="a0"/>
    <w:link w:val="25"/>
    <w:uiPriority w:val="99"/>
    <w:locked/>
    <w:rsid w:val="007C7B75"/>
    <w:rPr>
      <w:rFonts w:ascii="Arial" w:hAnsi="Arial" w:cs="Times New Roman"/>
      <w:color w:val="FF0000"/>
      <w:sz w:val="28"/>
      <w:lang w:val="ru-RU" w:eastAsia="ru-RU"/>
    </w:rPr>
  </w:style>
  <w:style w:type="paragraph" w:styleId="33">
    <w:name w:val="Body Text 3"/>
    <w:aliases w:val="Основной 4 надпись"/>
    <w:basedOn w:val="a"/>
    <w:link w:val="34"/>
    <w:uiPriority w:val="99"/>
    <w:rsid w:val="007C7B75"/>
    <w:pPr>
      <w:widowControl w:val="0"/>
      <w:jc w:val="center"/>
    </w:pPr>
    <w:rPr>
      <w:b/>
      <w:color w:val="FF0000"/>
    </w:rPr>
  </w:style>
  <w:style w:type="character" w:customStyle="1" w:styleId="34">
    <w:name w:val="Основной текст 3 Знак"/>
    <w:aliases w:val="Основной 4 надпись Знак"/>
    <w:basedOn w:val="a0"/>
    <w:link w:val="33"/>
    <w:uiPriority w:val="99"/>
    <w:locked/>
    <w:rsid w:val="007C7B75"/>
    <w:rPr>
      <w:rFonts w:cs="Times New Roman"/>
      <w:b/>
      <w:snapToGrid w:val="0"/>
      <w:color w:val="FF0000"/>
      <w:sz w:val="28"/>
      <w:lang w:val="ru-RU" w:eastAsia="ru-RU"/>
    </w:rPr>
  </w:style>
  <w:style w:type="paragraph" w:styleId="aa">
    <w:name w:val="Title"/>
    <w:basedOn w:val="a"/>
    <w:link w:val="ab"/>
    <w:uiPriority w:val="10"/>
    <w:qFormat/>
    <w:rsid w:val="007C7B75"/>
    <w:pPr>
      <w:jc w:val="center"/>
    </w:pPr>
  </w:style>
  <w:style w:type="character" w:customStyle="1" w:styleId="ab">
    <w:name w:val="Заголовок Знак"/>
    <w:basedOn w:val="a0"/>
    <w:link w:val="aa"/>
    <w:uiPriority w:val="10"/>
    <w:locked/>
    <w:rsid w:val="007C7B75"/>
    <w:rPr>
      <w:rFonts w:cs="Times New Roman"/>
      <w:sz w:val="28"/>
      <w:lang w:val="ru-RU" w:eastAsia="ru-RU"/>
    </w:rPr>
  </w:style>
  <w:style w:type="paragraph" w:styleId="ac">
    <w:name w:val="Subtitle"/>
    <w:basedOn w:val="a"/>
    <w:link w:val="ad"/>
    <w:uiPriority w:val="11"/>
    <w:qFormat/>
    <w:rsid w:val="007C7B75"/>
    <w:pPr>
      <w:jc w:val="center"/>
    </w:pPr>
  </w:style>
  <w:style w:type="character" w:customStyle="1" w:styleId="ad">
    <w:name w:val="Подзаголовок Знак"/>
    <w:basedOn w:val="a0"/>
    <w:link w:val="ac"/>
    <w:uiPriority w:val="11"/>
    <w:locked/>
    <w:rsid w:val="007C7B75"/>
    <w:rPr>
      <w:rFonts w:cs="Times New Roman"/>
      <w:sz w:val="28"/>
      <w:lang w:val="ru-RU" w:eastAsia="ru-RU"/>
    </w:rPr>
  </w:style>
  <w:style w:type="paragraph" w:styleId="ae">
    <w:name w:val="footnote text"/>
    <w:basedOn w:val="a"/>
    <w:link w:val="af"/>
    <w:uiPriority w:val="99"/>
    <w:rsid w:val="007C7B75"/>
    <w:pPr>
      <w:spacing w:line="240" w:lineRule="auto"/>
      <w:ind w:firstLine="0"/>
    </w:pPr>
    <w:rPr>
      <w:sz w:val="20"/>
    </w:rPr>
  </w:style>
  <w:style w:type="character" w:customStyle="1" w:styleId="af">
    <w:name w:val="Текст сноски Знак"/>
    <w:basedOn w:val="a0"/>
    <w:link w:val="ae"/>
    <w:uiPriority w:val="99"/>
    <w:qFormat/>
    <w:locked/>
    <w:rsid w:val="007C7B75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7C7B75"/>
    <w:pPr>
      <w:spacing w:line="240" w:lineRule="auto"/>
      <w:ind w:firstLine="0"/>
      <w:jc w:val="center"/>
    </w:pPr>
    <w:rPr>
      <w:szCs w:val="28"/>
    </w:rPr>
  </w:style>
  <w:style w:type="character" w:customStyle="1" w:styleId="af1">
    <w:name w:val="Нижний колонтитул Знак"/>
    <w:basedOn w:val="a0"/>
    <w:link w:val="af0"/>
    <w:uiPriority w:val="99"/>
    <w:qFormat/>
    <w:locked/>
    <w:rsid w:val="007C7B75"/>
    <w:rPr>
      <w:rFonts w:cs="Times New Roman"/>
      <w:sz w:val="28"/>
      <w:lang w:val="ru-RU" w:eastAsia="ru-RU"/>
    </w:rPr>
  </w:style>
  <w:style w:type="paragraph" w:customStyle="1" w:styleId="af2">
    <w:name w:val="ДСП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8"/>
    </w:rPr>
  </w:style>
  <w:style w:type="paragraph" w:customStyle="1" w:styleId="af3">
    <w:name w:val="подпись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1">
    <w:name w:val="Должность1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f4">
    <w:name w:val="На номер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4"/>
      <w:szCs w:val="24"/>
      <w:lang w:val="en-US"/>
    </w:rPr>
  </w:style>
  <w:style w:type="paragraph" w:customStyle="1" w:styleId="af5">
    <w:name w:val="адрес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6">
    <w:name w:val="уважаемый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left="284" w:right="-284" w:firstLine="0"/>
      <w:jc w:val="center"/>
      <w:textAlignment w:val="baseline"/>
    </w:pPr>
    <w:rPr>
      <w:szCs w:val="28"/>
    </w:rPr>
  </w:style>
  <w:style w:type="paragraph" w:customStyle="1" w:styleId="af7">
    <w:name w:val="Должность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8">
    <w:name w:val="отметка ЭЦП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4"/>
    </w:rPr>
  </w:style>
  <w:style w:type="paragraph" w:customStyle="1" w:styleId="af9">
    <w:name w:val="исполнитель"/>
    <w:basedOn w:val="a"/>
    <w:uiPriority w:val="99"/>
    <w:rsid w:val="007C7B7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uiPriority w:val="99"/>
    <w:rsid w:val="007C7B75"/>
    <w:pPr>
      <w:jc w:val="center"/>
    </w:pPr>
    <w:rPr>
      <w:sz w:val="20"/>
      <w:szCs w:val="20"/>
    </w:rPr>
  </w:style>
  <w:style w:type="paragraph" w:customStyle="1" w:styleId="27">
    <w:name w:val="Стиль Заголовок 2 + полужирный Авто"/>
    <w:basedOn w:val="2"/>
    <w:uiPriority w:val="99"/>
    <w:rsid w:val="007C7B75"/>
    <w:pPr>
      <w:outlineLvl w:val="9"/>
    </w:pPr>
    <w:rPr>
      <w:b w:val="0"/>
      <w:bCs/>
      <w:caps w:val="0"/>
    </w:rPr>
  </w:style>
  <w:style w:type="paragraph" w:styleId="afa">
    <w:name w:val="List"/>
    <w:basedOn w:val="a"/>
    <w:next w:val="a"/>
    <w:rsid w:val="007C7B75"/>
    <w:rPr>
      <w:szCs w:val="28"/>
    </w:rPr>
  </w:style>
  <w:style w:type="paragraph" w:styleId="afb">
    <w:name w:val="List Bullet"/>
    <w:basedOn w:val="a"/>
    <w:next w:val="a"/>
    <w:uiPriority w:val="99"/>
    <w:rsid w:val="007C7B75"/>
    <w:pPr>
      <w:tabs>
        <w:tab w:val="num" w:pos="360"/>
      </w:tabs>
    </w:pPr>
    <w:rPr>
      <w:szCs w:val="28"/>
    </w:rPr>
  </w:style>
  <w:style w:type="paragraph" w:styleId="afc">
    <w:name w:val="List Number"/>
    <w:basedOn w:val="a"/>
    <w:next w:val="a"/>
    <w:uiPriority w:val="99"/>
    <w:rsid w:val="007C7B75"/>
    <w:pPr>
      <w:ind w:firstLine="0"/>
    </w:pPr>
  </w:style>
  <w:style w:type="paragraph" w:styleId="28">
    <w:name w:val="List 2"/>
    <w:basedOn w:val="a"/>
    <w:next w:val="a"/>
    <w:uiPriority w:val="99"/>
    <w:rsid w:val="007C7B75"/>
    <w:rPr>
      <w:szCs w:val="28"/>
    </w:rPr>
  </w:style>
  <w:style w:type="paragraph" w:styleId="41">
    <w:name w:val="List 4"/>
    <w:basedOn w:val="a"/>
    <w:uiPriority w:val="99"/>
    <w:rsid w:val="007C7B75"/>
    <w:rPr>
      <w:szCs w:val="28"/>
    </w:rPr>
  </w:style>
  <w:style w:type="paragraph" w:styleId="51">
    <w:name w:val="List 5"/>
    <w:basedOn w:val="a"/>
    <w:uiPriority w:val="99"/>
    <w:rsid w:val="007C7B75"/>
    <w:pPr>
      <w:spacing w:line="480" w:lineRule="auto"/>
      <w:ind w:firstLine="0"/>
    </w:pPr>
  </w:style>
  <w:style w:type="paragraph" w:styleId="29">
    <w:name w:val="List Bullet 2"/>
    <w:basedOn w:val="a"/>
    <w:uiPriority w:val="99"/>
    <w:rsid w:val="007C7B75"/>
    <w:pPr>
      <w:tabs>
        <w:tab w:val="num" w:pos="643"/>
      </w:tabs>
      <w:ind w:firstLine="0"/>
    </w:pPr>
  </w:style>
  <w:style w:type="paragraph" w:styleId="35">
    <w:name w:val="List Bullet 3"/>
    <w:basedOn w:val="a"/>
    <w:uiPriority w:val="99"/>
    <w:rsid w:val="007C7B75"/>
    <w:pPr>
      <w:tabs>
        <w:tab w:val="num" w:pos="926"/>
      </w:tabs>
      <w:ind w:firstLine="0"/>
    </w:pPr>
  </w:style>
  <w:style w:type="paragraph" w:customStyle="1" w:styleId="12">
    <w:name w:val="Обычный1"/>
    <w:uiPriority w:val="99"/>
    <w:rsid w:val="007C7B75"/>
    <w:pPr>
      <w:widowControl w:val="0"/>
    </w:pPr>
    <w:rPr>
      <w:sz w:val="20"/>
      <w:szCs w:val="20"/>
    </w:rPr>
  </w:style>
  <w:style w:type="paragraph" w:styleId="afd">
    <w:name w:val="Block Text"/>
    <w:basedOn w:val="a"/>
    <w:uiPriority w:val="99"/>
    <w:rsid w:val="007C7B75"/>
    <w:pPr>
      <w:widowControl w:val="0"/>
      <w:spacing w:line="360" w:lineRule="exact"/>
      <w:ind w:left="500" w:right="560" w:firstLine="0"/>
      <w:jc w:val="center"/>
    </w:pPr>
    <w:rPr>
      <w:b/>
    </w:rPr>
  </w:style>
  <w:style w:type="paragraph" w:customStyle="1" w:styleId="ConsNormal">
    <w:name w:val="ConsNormal"/>
    <w:uiPriority w:val="99"/>
    <w:rsid w:val="007C7B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fe">
    <w:name w:val="Hyperlink"/>
    <w:basedOn w:val="a0"/>
    <w:uiPriority w:val="99"/>
    <w:rsid w:val="007C7B75"/>
    <w:rPr>
      <w:rFonts w:cs="Times New Roman"/>
      <w:color w:val="0000FF"/>
      <w:sz w:val="28"/>
      <w:u w:val="single"/>
      <w:lang w:val="ru-RU" w:eastAsia="en-US"/>
    </w:rPr>
  </w:style>
  <w:style w:type="paragraph" w:customStyle="1" w:styleId="aff">
    <w:name w:val="Стиль Регламент"/>
    <w:basedOn w:val="a"/>
    <w:uiPriority w:val="99"/>
    <w:rsid w:val="007C7B75"/>
    <w:pPr>
      <w:spacing w:line="360" w:lineRule="atLeast"/>
      <w:ind w:firstLine="720"/>
    </w:pPr>
    <w:rPr>
      <w:rFonts w:ascii="Arial" w:hAnsi="Arial"/>
      <w:sz w:val="24"/>
    </w:rPr>
  </w:style>
  <w:style w:type="paragraph" w:customStyle="1" w:styleId="13">
    <w:name w:val="Знак1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qFormat/>
    <w:rsid w:val="007C7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0">
    <w:name w:val="Знак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C7B7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1">
    <w:name w:val="Цветовое выделение"/>
    <w:uiPriority w:val="99"/>
    <w:rsid w:val="007C7B75"/>
    <w:rPr>
      <w:b/>
      <w:color w:val="0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7C7B75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</w:rPr>
  </w:style>
  <w:style w:type="paragraph" w:customStyle="1" w:styleId="15">
    <w:name w:val="Текст1"/>
    <w:basedOn w:val="aff3"/>
    <w:uiPriority w:val="99"/>
    <w:rsid w:val="007C7B75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 w:cs="Times New Roman"/>
      <w:sz w:val="24"/>
    </w:rPr>
  </w:style>
  <w:style w:type="paragraph" w:styleId="aff3">
    <w:name w:val="Plain Text"/>
    <w:basedOn w:val="a"/>
    <w:link w:val="aff4"/>
    <w:uiPriority w:val="99"/>
    <w:rsid w:val="007C7B75"/>
    <w:pPr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aff4">
    <w:name w:val="Текст Знак"/>
    <w:basedOn w:val="a0"/>
    <w:link w:val="aff3"/>
    <w:uiPriority w:val="99"/>
    <w:locked/>
    <w:rsid w:val="007C7B75"/>
    <w:rPr>
      <w:rFonts w:ascii="Courier New" w:hAnsi="Courier New" w:cs="Times New Roman"/>
      <w:lang w:val="ru-RU" w:eastAsia="ru-RU"/>
    </w:rPr>
  </w:style>
  <w:style w:type="paragraph" w:styleId="aff5">
    <w:name w:val="Balloon Text"/>
    <w:basedOn w:val="a"/>
    <w:link w:val="aff6"/>
    <w:qFormat/>
    <w:rsid w:val="007C7B75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qFormat/>
    <w:locked/>
    <w:rsid w:val="007C7B75"/>
    <w:rPr>
      <w:rFonts w:ascii="Tahoma" w:hAnsi="Tahoma" w:cs="Times New Roman"/>
      <w:sz w:val="16"/>
      <w:lang w:val="ru-RU" w:eastAsia="ru-RU"/>
    </w:rPr>
  </w:style>
  <w:style w:type="character" w:styleId="aff7">
    <w:name w:val="footnote reference"/>
    <w:basedOn w:val="a0"/>
    <w:uiPriority w:val="99"/>
    <w:rsid w:val="007C7B75"/>
    <w:rPr>
      <w:rFonts w:cs="Times New Roman"/>
      <w:sz w:val="28"/>
      <w:vertAlign w:val="superscript"/>
      <w:lang w:val="ru-RU" w:eastAsia="en-US"/>
    </w:rPr>
  </w:style>
  <w:style w:type="paragraph" w:styleId="aff8">
    <w:name w:val="endnote text"/>
    <w:basedOn w:val="a"/>
    <w:next w:val="a"/>
    <w:link w:val="aff9"/>
    <w:uiPriority w:val="99"/>
    <w:rsid w:val="007C7B75"/>
    <w:rPr>
      <w:szCs w:val="28"/>
    </w:rPr>
  </w:style>
  <w:style w:type="character" w:customStyle="1" w:styleId="aff9">
    <w:name w:val="Текст концевой сноски Знак"/>
    <w:basedOn w:val="a0"/>
    <w:link w:val="aff8"/>
    <w:uiPriority w:val="99"/>
    <w:qFormat/>
    <w:locked/>
    <w:rsid w:val="007C7B75"/>
    <w:rPr>
      <w:rFonts w:cs="Times New Roman"/>
      <w:sz w:val="28"/>
      <w:lang w:val="ru-RU" w:eastAsia="ru-RU"/>
    </w:rPr>
  </w:style>
  <w:style w:type="paragraph" w:styleId="affa">
    <w:name w:val="table of authorities"/>
    <w:basedOn w:val="a"/>
    <w:next w:val="a"/>
    <w:uiPriority w:val="99"/>
    <w:rsid w:val="007C7B75"/>
    <w:rPr>
      <w:szCs w:val="28"/>
    </w:rPr>
  </w:style>
  <w:style w:type="paragraph" w:styleId="affb">
    <w:name w:val="macro"/>
    <w:link w:val="affc"/>
    <w:uiPriority w:val="99"/>
    <w:rsid w:val="007C7B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cs="Courier New"/>
      <w:sz w:val="28"/>
      <w:szCs w:val="20"/>
    </w:rPr>
  </w:style>
  <w:style w:type="character" w:customStyle="1" w:styleId="affc">
    <w:name w:val="Текст макроса Знак"/>
    <w:basedOn w:val="a0"/>
    <w:link w:val="affb"/>
    <w:uiPriority w:val="99"/>
    <w:locked/>
    <w:rsid w:val="007C7B75"/>
    <w:rPr>
      <w:rFonts w:cs="Courier New"/>
      <w:sz w:val="28"/>
      <w:lang w:val="ru-RU" w:eastAsia="ru-RU" w:bidi="ar-SA"/>
    </w:rPr>
  </w:style>
  <w:style w:type="paragraph" w:styleId="affd">
    <w:name w:val="toa heading"/>
    <w:basedOn w:val="a"/>
    <w:next w:val="a"/>
    <w:uiPriority w:val="99"/>
    <w:rsid w:val="007C7B75"/>
    <w:rPr>
      <w:rFonts w:cs="Arial"/>
      <w:bCs/>
      <w:szCs w:val="28"/>
    </w:rPr>
  </w:style>
  <w:style w:type="paragraph" w:styleId="affe">
    <w:name w:val="Normal (Web)"/>
    <w:aliases w:val="Обычный (Web)"/>
    <w:basedOn w:val="a"/>
    <w:rsid w:val="007C7B75"/>
    <w:pPr>
      <w:spacing w:before="120" w:after="120" w:line="240" w:lineRule="auto"/>
      <w:ind w:firstLine="0"/>
    </w:pPr>
    <w:rPr>
      <w:sz w:val="24"/>
      <w:szCs w:val="24"/>
    </w:rPr>
  </w:style>
  <w:style w:type="paragraph" w:customStyle="1" w:styleId="ENo">
    <w:name w:val="E?No?"/>
    <w:basedOn w:val="a"/>
    <w:uiPriority w:val="99"/>
    <w:rsid w:val="007C7B75"/>
    <w:pPr>
      <w:widowControl w:val="0"/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a"/>
    <w:uiPriority w:val="99"/>
    <w:rsid w:val="007C7B75"/>
    <w:pPr>
      <w:suppressAutoHyphens/>
      <w:autoSpaceDE w:val="0"/>
      <w:spacing w:line="240" w:lineRule="auto"/>
      <w:ind w:firstLine="720"/>
    </w:pPr>
    <w:rPr>
      <w:spacing w:val="-2"/>
      <w:sz w:val="24"/>
      <w:szCs w:val="24"/>
      <w:lang w:eastAsia="ar-SA"/>
    </w:rPr>
  </w:style>
  <w:style w:type="character" w:customStyle="1" w:styleId="afff">
    <w:name w:val="Гипертекстовая ссылка"/>
    <w:uiPriority w:val="99"/>
    <w:rsid w:val="007C7B75"/>
    <w:rPr>
      <w:b/>
      <w:color w:val="008000"/>
      <w:sz w:val="20"/>
    </w:rPr>
  </w:style>
  <w:style w:type="paragraph" w:customStyle="1" w:styleId="210">
    <w:name w:val="Основной текст 21"/>
    <w:basedOn w:val="a"/>
    <w:uiPriority w:val="99"/>
    <w:rsid w:val="007C7B75"/>
    <w:pPr>
      <w:widowControl w:val="0"/>
      <w:suppressAutoHyphens/>
      <w:overflowPunct w:val="0"/>
      <w:autoSpaceDE w:val="0"/>
      <w:spacing w:line="240" w:lineRule="auto"/>
    </w:pPr>
    <w:rPr>
      <w:spacing w:val="-2"/>
      <w:lang w:eastAsia="ar-SA"/>
    </w:rPr>
  </w:style>
  <w:style w:type="character" w:styleId="afff0">
    <w:name w:val="FollowedHyperlink"/>
    <w:basedOn w:val="a0"/>
    <w:uiPriority w:val="99"/>
    <w:rsid w:val="00EA0DCD"/>
    <w:rPr>
      <w:rFonts w:cs="Times New Roman"/>
      <w:color w:val="001185"/>
      <w:u w:val="none"/>
      <w:effect w:val="none"/>
    </w:rPr>
  </w:style>
  <w:style w:type="paragraph" w:customStyle="1" w:styleId="text">
    <w:name w:val="text"/>
    <w:basedOn w:val="a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20"/>
    </w:rPr>
  </w:style>
  <w:style w:type="paragraph" w:customStyle="1" w:styleId="sm">
    <w:name w:val="sm"/>
    <w:basedOn w:val="a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15"/>
      <w:szCs w:val="15"/>
    </w:rPr>
  </w:style>
  <w:style w:type="character" w:styleId="afff1">
    <w:name w:val="Strong"/>
    <w:basedOn w:val="a0"/>
    <w:uiPriority w:val="99"/>
    <w:qFormat/>
    <w:rsid w:val="00EA0DCD"/>
    <w:rPr>
      <w:rFonts w:cs="Times New Roman"/>
      <w:b/>
    </w:rPr>
  </w:style>
  <w:style w:type="character" w:styleId="afff2">
    <w:name w:val="Emphasis"/>
    <w:basedOn w:val="a0"/>
    <w:uiPriority w:val="99"/>
    <w:qFormat/>
    <w:rsid w:val="00EA0DCD"/>
    <w:rPr>
      <w:rFonts w:cs="Times New Roman"/>
      <w:i/>
    </w:rPr>
  </w:style>
  <w:style w:type="table" w:styleId="afff3">
    <w:name w:val="Table Grid"/>
    <w:basedOn w:val="a1"/>
    <w:uiPriority w:val="39"/>
    <w:rsid w:val="006C55BA"/>
    <w:pPr>
      <w:spacing w:line="360" w:lineRule="auto"/>
      <w:ind w:firstLine="709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1">
    <w:name w:val="pboth1"/>
    <w:basedOn w:val="a"/>
    <w:uiPriority w:val="99"/>
    <w:rsid w:val="005E43DC"/>
    <w:pPr>
      <w:spacing w:before="100" w:beforeAutospacing="1" w:after="115" w:line="211" w:lineRule="atLeast"/>
      <w:ind w:firstLine="0"/>
    </w:pPr>
    <w:rPr>
      <w:sz w:val="24"/>
      <w:szCs w:val="24"/>
    </w:rPr>
  </w:style>
  <w:style w:type="paragraph" w:styleId="afff4">
    <w:name w:val="List Paragraph"/>
    <w:basedOn w:val="a"/>
    <w:uiPriority w:val="99"/>
    <w:qFormat/>
    <w:rsid w:val="00E253BC"/>
    <w:pPr>
      <w:ind w:left="720"/>
      <w:contextualSpacing/>
    </w:pPr>
  </w:style>
  <w:style w:type="paragraph" w:customStyle="1" w:styleId="16">
    <w:name w:val="1"/>
    <w:basedOn w:val="a"/>
    <w:uiPriority w:val="99"/>
    <w:rsid w:val="00007D8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paragraph" w:styleId="afff5">
    <w:name w:val="No Spacing"/>
    <w:uiPriority w:val="99"/>
    <w:qFormat/>
    <w:rsid w:val="004F11B8"/>
    <w:rPr>
      <w:rFonts w:eastAsia="DejaVu Sans" w:cs="DejaVu Sans"/>
      <w:sz w:val="24"/>
      <w:szCs w:val="24"/>
      <w:lang w:val="en-US" w:eastAsia="zh-CN" w:bidi="hi-IN"/>
    </w:rPr>
  </w:style>
  <w:style w:type="paragraph" w:styleId="2a">
    <w:name w:val="Quote"/>
    <w:basedOn w:val="a"/>
    <w:next w:val="a"/>
    <w:link w:val="2b"/>
    <w:uiPriority w:val="29"/>
    <w:qFormat/>
    <w:rsid w:val="004F11B8"/>
    <w:pPr>
      <w:spacing w:after="200" w:line="276" w:lineRule="auto"/>
      <w:ind w:left="720" w:right="720" w:firstLine="0"/>
      <w:jc w:val="left"/>
    </w:pPr>
    <w:rPr>
      <w:rFonts w:ascii="Calibri" w:eastAsia="Calibri" w:hAnsi="Calibri"/>
      <w:i/>
      <w:lang w:eastAsia="zh-CN"/>
    </w:rPr>
  </w:style>
  <w:style w:type="character" w:customStyle="1" w:styleId="2b">
    <w:name w:val="Цитата 2 Знак"/>
    <w:basedOn w:val="a0"/>
    <w:link w:val="2a"/>
    <w:uiPriority w:val="29"/>
    <w:rsid w:val="004F11B8"/>
    <w:rPr>
      <w:rFonts w:ascii="Calibri" w:eastAsia="Calibri" w:hAnsi="Calibri"/>
      <w:i/>
      <w:lang w:eastAsia="zh-CN"/>
    </w:rPr>
  </w:style>
  <w:style w:type="paragraph" w:styleId="afff6">
    <w:name w:val="Intense Quote"/>
    <w:basedOn w:val="a"/>
    <w:next w:val="a"/>
    <w:link w:val="afff7"/>
    <w:uiPriority w:val="30"/>
    <w:qFormat/>
    <w:rsid w:val="004F11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 w:firstLine="0"/>
      <w:jc w:val="left"/>
    </w:pPr>
    <w:rPr>
      <w:rFonts w:ascii="Calibri" w:eastAsia="Calibri" w:hAnsi="Calibri"/>
      <w:i/>
      <w:lang w:eastAsia="zh-CN"/>
    </w:rPr>
  </w:style>
  <w:style w:type="character" w:customStyle="1" w:styleId="afff7">
    <w:name w:val="Выделенная цитата Знак"/>
    <w:basedOn w:val="a0"/>
    <w:link w:val="afff6"/>
    <w:uiPriority w:val="30"/>
    <w:rsid w:val="004F11B8"/>
    <w:rPr>
      <w:rFonts w:ascii="Calibri" w:eastAsia="Calibri" w:hAnsi="Calibri"/>
      <w:i/>
      <w:shd w:val="clear" w:color="auto" w:fill="F2F2F2"/>
      <w:lang w:eastAsia="zh-CN"/>
    </w:rPr>
  </w:style>
  <w:style w:type="character" w:customStyle="1" w:styleId="17">
    <w:name w:val="Верхний колонтитул Знак1"/>
    <w:basedOn w:val="a0"/>
    <w:uiPriority w:val="99"/>
    <w:rsid w:val="004F11B8"/>
  </w:style>
  <w:style w:type="character" w:customStyle="1" w:styleId="FooterChar">
    <w:name w:val="Footer Char"/>
    <w:basedOn w:val="a0"/>
    <w:uiPriority w:val="99"/>
    <w:rsid w:val="004F11B8"/>
  </w:style>
  <w:style w:type="character" w:customStyle="1" w:styleId="18">
    <w:name w:val="Нижний колонтитул Знак1"/>
    <w:uiPriority w:val="99"/>
    <w:rsid w:val="004F11B8"/>
  </w:style>
  <w:style w:type="table" w:customStyle="1" w:styleId="TableGridLight">
    <w:name w:val="Table Grid Light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9">
    <w:name w:val="Текст сноски Знак1"/>
    <w:uiPriority w:val="99"/>
    <w:rsid w:val="004F11B8"/>
    <w:rPr>
      <w:sz w:val="18"/>
    </w:rPr>
  </w:style>
  <w:style w:type="character" w:customStyle="1" w:styleId="1a">
    <w:name w:val="Текст концевой сноски Знак1"/>
    <w:uiPriority w:val="99"/>
    <w:rsid w:val="004F11B8"/>
    <w:rPr>
      <w:sz w:val="20"/>
    </w:rPr>
  </w:style>
  <w:style w:type="paragraph" w:styleId="1b">
    <w:name w:val="toc 1"/>
    <w:basedOn w:val="a"/>
    <w:next w:val="a"/>
    <w:uiPriority w:val="39"/>
    <w:unhideWhenUsed/>
    <w:locked/>
    <w:rsid w:val="004F11B8"/>
    <w:pPr>
      <w:spacing w:after="57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styleId="2c">
    <w:name w:val="toc 2"/>
    <w:basedOn w:val="a"/>
    <w:next w:val="a"/>
    <w:uiPriority w:val="39"/>
    <w:unhideWhenUsed/>
    <w:locked/>
    <w:rsid w:val="004F11B8"/>
    <w:pPr>
      <w:spacing w:after="57" w:line="276" w:lineRule="auto"/>
      <w:ind w:left="283" w:firstLine="0"/>
      <w:jc w:val="left"/>
    </w:pPr>
    <w:rPr>
      <w:rFonts w:ascii="Calibri" w:eastAsia="Calibri" w:hAnsi="Calibri"/>
      <w:lang w:eastAsia="zh-CN"/>
    </w:rPr>
  </w:style>
  <w:style w:type="paragraph" w:styleId="36">
    <w:name w:val="toc 3"/>
    <w:basedOn w:val="a"/>
    <w:next w:val="a"/>
    <w:uiPriority w:val="39"/>
    <w:unhideWhenUsed/>
    <w:locked/>
    <w:rsid w:val="004F11B8"/>
    <w:pPr>
      <w:spacing w:after="57" w:line="276" w:lineRule="auto"/>
      <w:ind w:left="567" w:firstLine="0"/>
      <w:jc w:val="left"/>
    </w:pPr>
    <w:rPr>
      <w:rFonts w:ascii="Calibri" w:eastAsia="Calibri" w:hAnsi="Calibri"/>
      <w:lang w:eastAsia="zh-CN"/>
    </w:rPr>
  </w:style>
  <w:style w:type="paragraph" w:styleId="42">
    <w:name w:val="toc 4"/>
    <w:basedOn w:val="a"/>
    <w:next w:val="a"/>
    <w:uiPriority w:val="39"/>
    <w:unhideWhenUsed/>
    <w:locked/>
    <w:rsid w:val="004F11B8"/>
    <w:pPr>
      <w:spacing w:after="57" w:line="276" w:lineRule="auto"/>
      <w:ind w:left="850" w:firstLine="0"/>
      <w:jc w:val="left"/>
    </w:pPr>
    <w:rPr>
      <w:rFonts w:ascii="Calibri" w:eastAsia="Calibri" w:hAnsi="Calibri"/>
      <w:lang w:eastAsia="zh-CN"/>
    </w:rPr>
  </w:style>
  <w:style w:type="paragraph" w:styleId="52">
    <w:name w:val="toc 5"/>
    <w:basedOn w:val="a"/>
    <w:next w:val="a"/>
    <w:uiPriority w:val="39"/>
    <w:unhideWhenUsed/>
    <w:locked/>
    <w:rsid w:val="004F11B8"/>
    <w:pPr>
      <w:spacing w:after="57" w:line="276" w:lineRule="auto"/>
      <w:ind w:left="1134" w:firstLine="0"/>
      <w:jc w:val="left"/>
    </w:pPr>
    <w:rPr>
      <w:rFonts w:ascii="Calibri" w:eastAsia="Calibri" w:hAnsi="Calibri"/>
      <w:lang w:eastAsia="zh-CN"/>
    </w:rPr>
  </w:style>
  <w:style w:type="paragraph" w:styleId="61">
    <w:name w:val="toc 6"/>
    <w:basedOn w:val="a"/>
    <w:next w:val="a"/>
    <w:uiPriority w:val="39"/>
    <w:unhideWhenUsed/>
    <w:locked/>
    <w:rsid w:val="004F11B8"/>
    <w:pPr>
      <w:spacing w:after="57" w:line="276" w:lineRule="auto"/>
      <w:ind w:left="1417" w:firstLine="0"/>
      <w:jc w:val="left"/>
    </w:pPr>
    <w:rPr>
      <w:rFonts w:ascii="Calibri" w:eastAsia="Calibri" w:hAnsi="Calibri"/>
      <w:lang w:eastAsia="zh-CN"/>
    </w:rPr>
  </w:style>
  <w:style w:type="paragraph" w:styleId="71">
    <w:name w:val="toc 7"/>
    <w:basedOn w:val="a"/>
    <w:next w:val="a"/>
    <w:uiPriority w:val="39"/>
    <w:unhideWhenUsed/>
    <w:locked/>
    <w:rsid w:val="004F11B8"/>
    <w:pPr>
      <w:spacing w:after="57" w:line="276" w:lineRule="auto"/>
      <w:ind w:left="1701" w:firstLine="0"/>
      <w:jc w:val="left"/>
    </w:pPr>
    <w:rPr>
      <w:rFonts w:ascii="Calibri" w:eastAsia="Calibri" w:hAnsi="Calibri"/>
      <w:lang w:eastAsia="zh-CN"/>
    </w:rPr>
  </w:style>
  <w:style w:type="paragraph" w:styleId="81">
    <w:name w:val="toc 8"/>
    <w:basedOn w:val="a"/>
    <w:next w:val="a"/>
    <w:uiPriority w:val="39"/>
    <w:unhideWhenUsed/>
    <w:locked/>
    <w:rsid w:val="004F11B8"/>
    <w:pPr>
      <w:spacing w:after="57" w:line="276" w:lineRule="auto"/>
      <w:ind w:left="1984" w:firstLine="0"/>
      <w:jc w:val="left"/>
    </w:pPr>
    <w:rPr>
      <w:rFonts w:ascii="Calibri" w:eastAsia="Calibri" w:hAnsi="Calibri"/>
      <w:lang w:eastAsia="zh-CN"/>
    </w:rPr>
  </w:style>
  <w:style w:type="paragraph" w:styleId="91">
    <w:name w:val="toc 9"/>
    <w:basedOn w:val="a"/>
    <w:next w:val="a"/>
    <w:uiPriority w:val="39"/>
    <w:unhideWhenUsed/>
    <w:locked/>
    <w:rsid w:val="004F11B8"/>
    <w:pPr>
      <w:spacing w:after="57" w:line="276" w:lineRule="auto"/>
      <w:ind w:left="2268" w:firstLine="0"/>
      <w:jc w:val="left"/>
    </w:pPr>
    <w:rPr>
      <w:rFonts w:ascii="Calibri" w:eastAsia="Calibri" w:hAnsi="Calibri"/>
      <w:lang w:eastAsia="zh-CN"/>
    </w:rPr>
  </w:style>
  <w:style w:type="paragraph" w:styleId="afff8">
    <w:name w:val="TOC Heading"/>
    <w:uiPriority w:val="39"/>
    <w:unhideWhenUsed/>
    <w:qFormat/>
    <w:rsid w:val="004F11B8"/>
    <w:rPr>
      <w:rFonts w:eastAsia="DejaVu Sans" w:cs="DejaVu Sans"/>
      <w:sz w:val="24"/>
      <w:szCs w:val="24"/>
      <w:lang w:val="en-US" w:eastAsia="zh-CN" w:bidi="hi-IN"/>
    </w:rPr>
  </w:style>
  <w:style w:type="paragraph" w:styleId="afff9">
    <w:name w:val="table of figures"/>
    <w:basedOn w:val="a"/>
    <w:next w:val="a"/>
    <w:uiPriority w:val="99"/>
    <w:unhideWhenUsed/>
    <w:rsid w:val="004F11B8"/>
    <w:pPr>
      <w:spacing w:line="276" w:lineRule="auto"/>
      <w:ind w:firstLine="0"/>
      <w:jc w:val="left"/>
    </w:pPr>
    <w:rPr>
      <w:rFonts w:ascii="Calibri" w:eastAsia="Calibri" w:hAnsi="Calibri"/>
      <w:lang w:eastAsia="zh-CN"/>
    </w:rPr>
  </w:style>
  <w:style w:type="character" w:customStyle="1" w:styleId="WW8Num1z0">
    <w:name w:val="WW8Num1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  <w:rsid w:val="004F11B8"/>
  </w:style>
  <w:style w:type="character" w:customStyle="1" w:styleId="WW8Num1z2">
    <w:name w:val="WW8Num1z2"/>
    <w:qFormat/>
    <w:rsid w:val="004F11B8"/>
  </w:style>
  <w:style w:type="character" w:customStyle="1" w:styleId="WW8Num1z3">
    <w:name w:val="WW8Num1z3"/>
    <w:qFormat/>
    <w:rsid w:val="004F11B8"/>
  </w:style>
  <w:style w:type="character" w:customStyle="1" w:styleId="WW8Num1z4">
    <w:name w:val="WW8Num1z4"/>
    <w:qFormat/>
    <w:rsid w:val="004F11B8"/>
  </w:style>
  <w:style w:type="character" w:customStyle="1" w:styleId="WW8Num1z5">
    <w:name w:val="WW8Num1z5"/>
    <w:qFormat/>
    <w:rsid w:val="004F11B8"/>
  </w:style>
  <w:style w:type="character" w:customStyle="1" w:styleId="WW8Num1z6">
    <w:name w:val="WW8Num1z6"/>
    <w:qFormat/>
    <w:rsid w:val="004F11B8"/>
  </w:style>
  <w:style w:type="character" w:customStyle="1" w:styleId="WW8Num1z7">
    <w:name w:val="WW8Num1z7"/>
    <w:qFormat/>
    <w:rsid w:val="004F11B8"/>
  </w:style>
  <w:style w:type="character" w:customStyle="1" w:styleId="WW8Num1z8">
    <w:name w:val="WW8Num1z8"/>
    <w:qFormat/>
    <w:rsid w:val="004F11B8"/>
  </w:style>
  <w:style w:type="character" w:customStyle="1" w:styleId="WW8Num2z0">
    <w:name w:val="WW8Num2z0"/>
    <w:qFormat/>
    <w:rsid w:val="004F11B8"/>
    <w:rPr>
      <w:b/>
    </w:rPr>
  </w:style>
  <w:style w:type="character" w:customStyle="1" w:styleId="WW8Num2z1">
    <w:name w:val="WW8Num2z1"/>
    <w:qFormat/>
    <w:rsid w:val="004F11B8"/>
  </w:style>
  <w:style w:type="character" w:customStyle="1" w:styleId="WW8Num3z0">
    <w:name w:val="WW8Num3z0"/>
    <w:qFormat/>
    <w:rsid w:val="004F11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3z1">
    <w:name w:val="WW8Num3z1"/>
    <w:qFormat/>
    <w:rsid w:val="004F11B8"/>
  </w:style>
  <w:style w:type="character" w:customStyle="1" w:styleId="WW8Num3z2">
    <w:name w:val="WW8Num3z2"/>
    <w:qFormat/>
    <w:rsid w:val="004F11B8"/>
  </w:style>
  <w:style w:type="character" w:customStyle="1" w:styleId="WW8Num3z3">
    <w:name w:val="WW8Num3z3"/>
    <w:qFormat/>
    <w:rsid w:val="004F11B8"/>
  </w:style>
  <w:style w:type="character" w:customStyle="1" w:styleId="WW8Num3z4">
    <w:name w:val="WW8Num3z4"/>
    <w:qFormat/>
    <w:rsid w:val="004F11B8"/>
  </w:style>
  <w:style w:type="character" w:customStyle="1" w:styleId="WW8Num3z5">
    <w:name w:val="WW8Num3z5"/>
    <w:qFormat/>
    <w:rsid w:val="004F11B8"/>
  </w:style>
  <w:style w:type="character" w:customStyle="1" w:styleId="WW8Num3z6">
    <w:name w:val="WW8Num3z6"/>
    <w:qFormat/>
    <w:rsid w:val="004F11B8"/>
  </w:style>
  <w:style w:type="character" w:customStyle="1" w:styleId="WW8Num3z7">
    <w:name w:val="WW8Num3z7"/>
    <w:qFormat/>
    <w:rsid w:val="004F11B8"/>
  </w:style>
  <w:style w:type="character" w:customStyle="1" w:styleId="WW8Num3z8">
    <w:name w:val="WW8Num3z8"/>
    <w:qFormat/>
    <w:rsid w:val="004F11B8"/>
  </w:style>
  <w:style w:type="character" w:customStyle="1" w:styleId="WW8Num4z0">
    <w:name w:val="WW8Num4z0"/>
    <w:qFormat/>
    <w:rsid w:val="004F11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4z1">
    <w:name w:val="WW8Num4z1"/>
    <w:qFormat/>
    <w:rsid w:val="004F11B8"/>
  </w:style>
  <w:style w:type="character" w:customStyle="1" w:styleId="WW8Num4z2">
    <w:name w:val="WW8Num4z2"/>
    <w:qFormat/>
    <w:rsid w:val="004F11B8"/>
  </w:style>
  <w:style w:type="character" w:customStyle="1" w:styleId="WW8Num4z3">
    <w:name w:val="WW8Num4z3"/>
    <w:qFormat/>
    <w:rsid w:val="004F11B8"/>
  </w:style>
  <w:style w:type="character" w:customStyle="1" w:styleId="WW8Num4z4">
    <w:name w:val="WW8Num4z4"/>
    <w:qFormat/>
    <w:rsid w:val="004F11B8"/>
  </w:style>
  <w:style w:type="character" w:customStyle="1" w:styleId="WW8Num4z5">
    <w:name w:val="WW8Num4z5"/>
    <w:qFormat/>
    <w:rsid w:val="004F11B8"/>
  </w:style>
  <w:style w:type="character" w:customStyle="1" w:styleId="WW8Num4z6">
    <w:name w:val="WW8Num4z6"/>
    <w:qFormat/>
    <w:rsid w:val="004F11B8"/>
  </w:style>
  <w:style w:type="character" w:customStyle="1" w:styleId="WW8Num4z7">
    <w:name w:val="WW8Num4z7"/>
    <w:qFormat/>
    <w:rsid w:val="004F11B8"/>
  </w:style>
  <w:style w:type="character" w:customStyle="1" w:styleId="WW8Num4z8">
    <w:name w:val="WW8Num4z8"/>
    <w:qFormat/>
    <w:rsid w:val="004F11B8"/>
  </w:style>
  <w:style w:type="character" w:customStyle="1" w:styleId="WW8Num5z0">
    <w:name w:val="WW8Num5z0"/>
    <w:qFormat/>
    <w:rsid w:val="004F11B8"/>
  </w:style>
  <w:style w:type="character" w:customStyle="1" w:styleId="WW8Num6z0">
    <w:name w:val="WW8Num6z0"/>
    <w:qFormat/>
    <w:rsid w:val="004F11B8"/>
    <w:rPr>
      <w:b w:val="0"/>
    </w:rPr>
  </w:style>
  <w:style w:type="character" w:customStyle="1" w:styleId="WW8Num6z1">
    <w:name w:val="WW8Num6z1"/>
    <w:qFormat/>
    <w:rsid w:val="004F11B8"/>
  </w:style>
  <w:style w:type="character" w:customStyle="1" w:styleId="WW8Num6z2">
    <w:name w:val="WW8Num6z2"/>
    <w:qFormat/>
    <w:rsid w:val="004F11B8"/>
  </w:style>
  <w:style w:type="character" w:customStyle="1" w:styleId="WW8Num6z3">
    <w:name w:val="WW8Num6z3"/>
    <w:qFormat/>
    <w:rsid w:val="004F11B8"/>
  </w:style>
  <w:style w:type="character" w:customStyle="1" w:styleId="WW8Num6z4">
    <w:name w:val="WW8Num6z4"/>
    <w:qFormat/>
    <w:rsid w:val="004F11B8"/>
  </w:style>
  <w:style w:type="character" w:customStyle="1" w:styleId="WW8Num6z5">
    <w:name w:val="WW8Num6z5"/>
    <w:qFormat/>
    <w:rsid w:val="004F11B8"/>
  </w:style>
  <w:style w:type="character" w:customStyle="1" w:styleId="WW8Num6z6">
    <w:name w:val="WW8Num6z6"/>
    <w:qFormat/>
    <w:rsid w:val="004F11B8"/>
  </w:style>
  <w:style w:type="character" w:customStyle="1" w:styleId="WW8Num6z7">
    <w:name w:val="WW8Num6z7"/>
    <w:qFormat/>
    <w:rsid w:val="004F11B8"/>
  </w:style>
  <w:style w:type="character" w:customStyle="1" w:styleId="WW8Num6z8">
    <w:name w:val="WW8Num6z8"/>
    <w:qFormat/>
    <w:rsid w:val="004F11B8"/>
  </w:style>
  <w:style w:type="character" w:customStyle="1" w:styleId="WW8Num7z0">
    <w:name w:val="WW8Num7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4F11B8"/>
  </w:style>
  <w:style w:type="character" w:customStyle="1" w:styleId="WW8Num7z2">
    <w:name w:val="WW8Num7z2"/>
    <w:qFormat/>
    <w:rsid w:val="004F11B8"/>
  </w:style>
  <w:style w:type="character" w:customStyle="1" w:styleId="WW8Num7z3">
    <w:name w:val="WW8Num7z3"/>
    <w:qFormat/>
    <w:rsid w:val="004F11B8"/>
  </w:style>
  <w:style w:type="character" w:customStyle="1" w:styleId="WW8Num7z4">
    <w:name w:val="WW8Num7z4"/>
    <w:qFormat/>
    <w:rsid w:val="004F11B8"/>
  </w:style>
  <w:style w:type="character" w:customStyle="1" w:styleId="WW8Num7z5">
    <w:name w:val="WW8Num7z5"/>
    <w:qFormat/>
    <w:rsid w:val="004F11B8"/>
  </w:style>
  <w:style w:type="character" w:customStyle="1" w:styleId="WW8Num7z6">
    <w:name w:val="WW8Num7z6"/>
    <w:qFormat/>
    <w:rsid w:val="004F11B8"/>
  </w:style>
  <w:style w:type="character" w:customStyle="1" w:styleId="WW8Num7z7">
    <w:name w:val="WW8Num7z7"/>
    <w:qFormat/>
    <w:rsid w:val="004F11B8"/>
  </w:style>
  <w:style w:type="character" w:customStyle="1" w:styleId="WW8Num7z8">
    <w:name w:val="WW8Num7z8"/>
    <w:qFormat/>
    <w:rsid w:val="004F11B8"/>
  </w:style>
  <w:style w:type="character" w:customStyle="1" w:styleId="WW8Num8z0">
    <w:name w:val="WW8Num8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4F11B8"/>
  </w:style>
  <w:style w:type="character" w:customStyle="1" w:styleId="WW8Num8z2">
    <w:name w:val="WW8Num8z2"/>
    <w:qFormat/>
    <w:rsid w:val="004F11B8"/>
  </w:style>
  <w:style w:type="character" w:customStyle="1" w:styleId="WW8Num8z3">
    <w:name w:val="WW8Num8z3"/>
    <w:qFormat/>
    <w:rsid w:val="004F11B8"/>
  </w:style>
  <w:style w:type="character" w:customStyle="1" w:styleId="WW8Num8z4">
    <w:name w:val="WW8Num8z4"/>
    <w:qFormat/>
    <w:rsid w:val="004F11B8"/>
  </w:style>
  <w:style w:type="character" w:customStyle="1" w:styleId="WW8Num8z5">
    <w:name w:val="WW8Num8z5"/>
    <w:qFormat/>
    <w:rsid w:val="004F11B8"/>
  </w:style>
  <w:style w:type="character" w:customStyle="1" w:styleId="WW8Num8z6">
    <w:name w:val="WW8Num8z6"/>
    <w:qFormat/>
    <w:rsid w:val="004F11B8"/>
  </w:style>
  <w:style w:type="character" w:customStyle="1" w:styleId="WW8Num8z7">
    <w:name w:val="WW8Num8z7"/>
    <w:qFormat/>
    <w:rsid w:val="004F11B8"/>
  </w:style>
  <w:style w:type="character" w:customStyle="1" w:styleId="WW8Num8z8">
    <w:name w:val="WW8Num8z8"/>
    <w:qFormat/>
    <w:rsid w:val="004F11B8"/>
  </w:style>
  <w:style w:type="character" w:customStyle="1" w:styleId="1c">
    <w:name w:val="Основной текст Знак1"/>
    <w:qFormat/>
    <w:rsid w:val="004F11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Основной текст (2)_"/>
    <w:qFormat/>
    <w:rsid w:val="004F11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FootnoteCharacters">
    <w:name w:val="Footnote Characters"/>
    <w:qFormat/>
    <w:rsid w:val="004F11B8"/>
    <w:rPr>
      <w:vertAlign w:val="superscript"/>
    </w:rPr>
  </w:style>
  <w:style w:type="character" w:customStyle="1" w:styleId="EndnoteCharacters">
    <w:name w:val="Endnote Characters"/>
    <w:qFormat/>
    <w:rsid w:val="004F11B8"/>
    <w:rPr>
      <w:vertAlign w:val="superscript"/>
    </w:rPr>
  </w:style>
  <w:style w:type="character" w:customStyle="1" w:styleId="InternetLink">
    <w:name w:val="Internet Link"/>
    <w:rsid w:val="004F11B8"/>
    <w:rPr>
      <w:color w:val="0000FF"/>
      <w:u w:val="single"/>
    </w:rPr>
  </w:style>
  <w:style w:type="paragraph" w:customStyle="1" w:styleId="Heading">
    <w:name w:val="Heading"/>
    <w:basedOn w:val="a"/>
    <w:next w:val="a8"/>
    <w:qFormat/>
    <w:rsid w:val="004F11B8"/>
    <w:pPr>
      <w:keepNext/>
      <w:spacing w:before="240" w:after="120" w:line="276" w:lineRule="auto"/>
      <w:ind w:firstLine="0"/>
      <w:jc w:val="left"/>
    </w:pPr>
    <w:rPr>
      <w:rFonts w:ascii="Arial" w:eastAsia="DejaVu Sans" w:hAnsi="Arial" w:cs="DejaVu Sans"/>
      <w:szCs w:val="28"/>
      <w:lang w:eastAsia="zh-CN"/>
    </w:rPr>
  </w:style>
  <w:style w:type="paragraph" w:styleId="afffa">
    <w:name w:val="caption"/>
    <w:basedOn w:val="a"/>
    <w:qFormat/>
    <w:locked/>
    <w:rsid w:val="004F11B8"/>
    <w:pPr>
      <w:suppressLineNumbers/>
      <w:spacing w:before="120" w:after="120" w:line="276" w:lineRule="auto"/>
      <w:ind w:firstLine="0"/>
      <w:jc w:val="left"/>
    </w:pPr>
    <w:rPr>
      <w:rFonts w:ascii="Calibri" w:eastAsia="Calibri" w:hAnsi="Calibri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4F11B8"/>
    <w:pPr>
      <w:suppressLineNumbers/>
      <w:spacing w:after="200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customStyle="1" w:styleId="Default">
    <w:name w:val="Default"/>
    <w:qFormat/>
    <w:rsid w:val="004F11B8"/>
    <w:rPr>
      <w:rFonts w:eastAsia="Calibri"/>
      <w:color w:val="000000"/>
      <w:sz w:val="24"/>
      <w:szCs w:val="24"/>
      <w:lang w:eastAsia="zh-CN"/>
    </w:rPr>
  </w:style>
  <w:style w:type="paragraph" w:customStyle="1" w:styleId="212">
    <w:name w:val="Основной текст (2)1"/>
    <w:basedOn w:val="a"/>
    <w:qFormat/>
    <w:rsid w:val="004F11B8"/>
    <w:pPr>
      <w:widowControl w:val="0"/>
      <w:shd w:val="clear" w:color="auto" w:fill="FFFFFF"/>
      <w:spacing w:line="317" w:lineRule="exact"/>
      <w:ind w:hanging="100"/>
      <w:jc w:val="center"/>
    </w:pPr>
    <w:rPr>
      <w:rFonts w:eastAsia="Calibri"/>
      <w:b/>
      <w:bCs/>
      <w:sz w:val="26"/>
      <w:szCs w:val="26"/>
      <w:lang w:eastAsia="zh-CN"/>
    </w:rPr>
  </w:style>
  <w:style w:type="paragraph" w:customStyle="1" w:styleId="TableContents">
    <w:name w:val="Table Contents"/>
    <w:basedOn w:val="a"/>
    <w:qFormat/>
    <w:rsid w:val="004F11B8"/>
    <w:pPr>
      <w:suppressLineNumbers/>
      <w:spacing w:after="200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customStyle="1" w:styleId="TableHeading">
    <w:name w:val="Table Heading"/>
    <w:basedOn w:val="TableContents"/>
    <w:qFormat/>
    <w:rsid w:val="004F11B8"/>
    <w:pPr>
      <w:jc w:val="center"/>
    </w:pPr>
    <w:rPr>
      <w:b/>
      <w:bCs/>
    </w:rPr>
  </w:style>
  <w:style w:type="numbering" w:customStyle="1" w:styleId="WW8Num1">
    <w:name w:val="WW8Num1"/>
    <w:qFormat/>
    <w:rsid w:val="004F11B8"/>
  </w:style>
  <w:style w:type="numbering" w:customStyle="1" w:styleId="WW8Num2">
    <w:name w:val="WW8Num2"/>
    <w:qFormat/>
    <w:rsid w:val="004F11B8"/>
  </w:style>
  <w:style w:type="numbering" w:customStyle="1" w:styleId="WW8Num3">
    <w:name w:val="WW8Num3"/>
    <w:qFormat/>
    <w:rsid w:val="004F11B8"/>
  </w:style>
  <w:style w:type="numbering" w:customStyle="1" w:styleId="WW8Num4">
    <w:name w:val="WW8Num4"/>
    <w:qFormat/>
    <w:rsid w:val="004F11B8"/>
  </w:style>
  <w:style w:type="numbering" w:customStyle="1" w:styleId="WW8Num5">
    <w:name w:val="WW8Num5"/>
    <w:qFormat/>
    <w:rsid w:val="004F11B8"/>
  </w:style>
  <w:style w:type="numbering" w:customStyle="1" w:styleId="WW8Num6">
    <w:name w:val="WW8Num6"/>
    <w:qFormat/>
    <w:rsid w:val="004F11B8"/>
  </w:style>
  <w:style w:type="numbering" w:customStyle="1" w:styleId="WW8Num7">
    <w:name w:val="WW8Num7"/>
    <w:qFormat/>
    <w:rsid w:val="004F11B8"/>
  </w:style>
  <w:style w:type="numbering" w:customStyle="1" w:styleId="WW8Num8">
    <w:name w:val="WW8Num8"/>
    <w:qFormat/>
    <w:rsid w:val="004F11B8"/>
  </w:style>
  <w:style w:type="character" w:styleId="afffb">
    <w:name w:val="endnote reference"/>
    <w:basedOn w:val="a0"/>
    <w:uiPriority w:val="99"/>
    <w:unhideWhenUsed/>
    <w:rsid w:val="004F11B8"/>
    <w:rPr>
      <w:vertAlign w:val="superscript"/>
    </w:rPr>
  </w:style>
  <w:style w:type="character" w:styleId="afffc">
    <w:name w:val="Unresolved Mention"/>
    <w:basedOn w:val="a0"/>
    <w:uiPriority w:val="99"/>
    <w:semiHidden/>
    <w:unhideWhenUsed/>
    <w:rsid w:val="00AE2716"/>
    <w:rPr>
      <w:color w:val="605E5C"/>
      <w:shd w:val="clear" w:color="auto" w:fill="E1DFDD"/>
    </w:rPr>
  </w:style>
  <w:style w:type="character" w:styleId="afffd">
    <w:name w:val="annotation reference"/>
    <w:basedOn w:val="a0"/>
    <w:uiPriority w:val="99"/>
    <w:semiHidden/>
    <w:unhideWhenUsed/>
    <w:rsid w:val="00AE2716"/>
    <w:rPr>
      <w:sz w:val="16"/>
      <w:szCs w:val="16"/>
    </w:rPr>
  </w:style>
  <w:style w:type="paragraph" w:styleId="afffe">
    <w:name w:val="annotation text"/>
    <w:basedOn w:val="a"/>
    <w:link w:val="affff"/>
    <w:uiPriority w:val="99"/>
    <w:semiHidden/>
    <w:unhideWhenUsed/>
    <w:rsid w:val="00AE2716"/>
    <w:pPr>
      <w:spacing w:line="240" w:lineRule="auto"/>
    </w:pPr>
    <w:rPr>
      <w:sz w:val="20"/>
    </w:rPr>
  </w:style>
  <w:style w:type="character" w:customStyle="1" w:styleId="affff">
    <w:name w:val="Текст примечания Знак"/>
    <w:basedOn w:val="a0"/>
    <w:link w:val="afffe"/>
    <w:uiPriority w:val="99"/>
    <w:semiHidden/>
    <w:rsid w:val="00AE2716"/>
    <w:rPr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semiHidden/>
    <w:unhideWhenUsed/>
    <w:rsid w:val="00AE2716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semiHidden/>
    <w:rsid w:val="00AE2716"/>
    <w:rPr>
      <w:b/>
      <w:bCs/>
      <w:sz w:val="20"/>
      <w:szCs w:val="20"/>
    </w:rPr>
  </w:style>
  <w:style w:type="character" w:styleId="affff2">
    <w:name w:val="Intense Emphasis"/>
    <w:basedOn w:val="a0"/>
    <w:uiPriority w:val="21"/>
    <w:qFormat/>
    <w:rsid w:val="00281832"/>
    <w:rPr>
      <w:i/>
      <w:iCs/>
      <w:color w:val="365F91" w:themeColor="accent1" w:themeShade="BF"/>
    </w:rPr>
  </w:style>
  <w:style w:type="character" w:styleId="affff3">
    <w:name w:val="Intense Reference"/>
    <w:basedOn w:val="a0"/>
    <w:uiPriority w:val="32"/>
    <w:qFormat/>
    <w:rsid w:val="0028183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7810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A0A2-B09F-43AF-A6F5-B1C82D8B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14</Pages>
  <Words>3883</Words>
  <Characters>31629</Characters>
  <Application>Microsoft Office Word</Application>
  <DocSecurity>0</DocSecurity>
  <Lines>263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СЧЁТНАЯ ПАЛАТА ГОРОДА НИЖНЕВАРТОВСКА</vt:lpstr>
    </vt:vector>
  </TitlesOfParts>
  <Company>Microsoft</Company>
  <LinksUpToDate>false</LinksUpToDate>
  <CharactersWithSpaces>35442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СЧЁТНАЯ ПАЛАТА ГОРОДА НИЖНЕВАРТОВСКА</dc:title>
  <dc:creator>Admin</dc:creator>
  <cp:lastModifiedBy>КСП - Морозова М.Н.</cp:lastModifiedBy>
  <cp:revision>40</cp:revision>
  <cp:lastPrinted>2022-12-28T08:44:00Z</cp:lastPrinted>
  <dcterms:created xsi:type="dcterms:W3CDTF">2026-02-16T09:28:00Z</dcterms:created>
  <dcterms:modified xsi:type="dcterms:W3CDTF">2026-08-20T13:52:00Z</dcterms:modified>
</cp:coreProperties>
</file>