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30" w:rsidRPr="007F7AC6" w:rsidRDefault="00756630" w:rsidP="007F7AC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Информация для получателей субсиди</w:t>
      </w:r>
      <w:r w:rsidR="00D622E1" w:rsidRPr="007F7AC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и</w:t>
      </w:r>
    </w:p>
    <w:p w:rsidR="00D622E1" w:rsidRPr="007F7AC6" w:rsidRDefault="00D622E1" w:rsidP="00756630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</w:pPr>
    </w:p>
    <w:p w:rsidR="00756630" w:rsidRPr="00FF1181" w:rsidRDefault="00756630" w:rsidP="00FF1181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118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Обязательства при получении субсидии</w:t>
      </w:r>
      <w:bookmarkStart w:id="0" w:name="_GoBack"/>
      <w:bookmarkEnd w:id="0"/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получении </w:t>
      </w:r>
      <w:r w:rsidR="00D622E1"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муниципальной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невозвратной финансовой поддержки, к которой относятся субсидии и гранты в форме субсидий, предприниматель берет на себя обязательства по </w:t>
      </w:r>
      <w:r w:rsidR="00D622E1"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сохранению (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развитию</w:t>
      </w:r>
      <w:r w:rsidR="00D622E1"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своего бизнеса.</w:t>
      </w:r>
    </w:p>
    <w:p w:rsidR="00756630" w:rsidRPr="007F7AC6" w:rsidRDefault="00D622E1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Это условие прописано в П</w:t>
      </w:r>
      <w:r w:rsidR="00756630"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 xml:space="preserve">орядке предоставления </w:t>
      </w: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субсидии</w:t>
      </w:r>
      <w:r w:rsidR="00756630"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. Порядком предоставления субсидии определяется, а также числовые требования к плановым значениям (минимальные требования). Плановые значения взятых на себя получателем субсидии обязательств указаны в соглашении о предоставлении субсидии, а также срок их достижения.</w:t>
      </w:r>
    </w:p>
    <w:p w:rsidR="00D622E1" w:rsidRPr="007F7AC6" w:rsidRDefault="00D622E1" w:rsidP="00FE6A9F">
      <w:pPr>
        <w:widowControl w:val="0"/>
        <w:spacing w:before="120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В</w:t>
      </w:r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соглашение включаются следующие</w:t>
      </w:r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показатели, необходимые для достижения результатов предоставления субсидии (количественные параметры): </w:t>
      </w:r>
    </w:p>
    <w:p w:rsidR="00D622E1" w:rsidRPr="007F7AC6" w:rsidRDefault="00D622E1" w:rsidP="00FE6A9F">
      <w:pPr>
        <w:widowControl w:val="0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proofErr w:type="gramStart"/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а</w:t>
      </w:r>
      <w:proofErr w:type="gramEnd"/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) увеличение величины годовой выручки от реализации товаров (работ, услуг) не менее чем на два процента к аналогичному показателю года, предшествующего году проведения отбора, или от величины выручки с начала текущего года по состоянию на дату подачи заявки на участие в отборе нарастающим итогом – в случае если в предшествующем году выручка отсутствовала;</w:t>
      </w:r>
    </w:p>
    <w:p w:rsidR="00D622E1" w:rsidRPr="007F7AC6" w:rsidRDefault="00D622E1" w:rsidP="00FE6A9F">
      <w:pPr>
        <w:widowControl w:val="0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proofErr w:type="gramStart"/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б</w:t>
      </w:r>
      <w:proofErr w:type="gramEnd"/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) и (или) </w:t>
      </w:r>
      <w:r w:rsidRPr="007F7AC6">
        <w:rPr>
          <w:rFonts w:ascii="Times New Roman" w:hAnsi="Times New Roman" w:cs="Times New Roman"/>
          <w:sz w:val="24"/>
          <w:szCs w:val="24"/>
        </w:rPr>
        <w:t>сохранение количества рабочих мест или увеличение количества рабочих мест не менее чем на 1 единицу до конца года, в котором предоставлена субсидия;</w:t>
      </w:r>
    </w:p>
    <w:p w:rsidR="00D622E1" w:rsidRPr="007F7AC6" w:rsidRDefault="00D622E1" w:rsidP="00FE6A9F">
      <w:pPr>
        <w:widowControl w:val="0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proofErr w:type="gramStart"/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в</w:t>
      </w:r>
      <w:proofErr w:type="gramEnd"/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) и (или) 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области.</w:t>
      </w:r>
    </w:p>
    <w:p w:rsidR="00D622E1" w:rsidRPr="007F7AC6" w:rsidRDefault="00D622E1" w:rsidP="00FE6A9F">
      <w:pPr>
        <w:widowControl w:val="0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7F7AC6">
        <w:rPr>
          <w:rFonts w:ascii="Times New Roman" w:eastAsia="Courier New" w:hAnsi="Times New Roman" w:cs="Times New Roman"/>
          <w:sz w:val="24"/>
          <w:szCs w:val="24"/>
          <w:lang w:bidi="ru-RU"/>
        </w:rPr>
        <w:t>Состав и значение показателей определяются с учетом показателей и их значений, представленных участником отбора в плане мероприятий («дорожной карте») по достижению показателей, необходимых для достижения результатов предоставления субсидии, и учитываемых при проведении отбора. Состав и значение показателей устанавливаются Администрацией в Соглашении.</w:t>
      </w:r>
    </w:p>
    <w:p w:rsidR="00D622E1" w:rsidRPr="007F7AC6" w:rsidRDefault="00FB2A7E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Субъекту МСП НЕОБХОДИМО подтвердить значения показателей, участвующих в расчетах плановых значений п</w:t>
      </w:r>
      <w:r w:rsidRPr="007F7AC6">
        <w:rPr>
          <w:rFonts w:ascii="Times New Roman" w:hAnsi="Times New Roman" w:cs="Times New Roman"/>
          <w:sz w:val="24"/>
          <w:szCs w:val="24"/>
        </w:rPr>
        <w:t>оказателей</w:t>
      </w:r>
      <w:r w:rsidRPr="007F7AC6">
        <w:rPr>
          <w:rFonts w:ascii="Times New Roman" w:hAnsi="Times New Roman" w:cs="Times New Roman"/>
          <w:sz w:val="24"/>
          <w:szCs w:val="24"/>
        </w:rPr>
        <w:t xml:space="preserve">, устанавливаемых участником отбора (получателем субсидии) в </w:t>
      </w:r>
      <w:r w:rsidRPr="007F7A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Плане</w:t>
      </w:r>
      <w:r w:rsidRPr="007F7A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мероприятий («</w:t>
      </w:r>
      <w:r w:rsidRPr="007F7A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дорожной карте</w:t>
      </w:r>
      <w:r w:rsidRPr="007F7A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»).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Ниже размещаем информацию об основных показателях — определения и порядок расчета.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bdr w:val="none" w:sz="0" w:space="0" w:color="auto" w:frame="1"/>
          <w:lang w:eastAsia="ru-RU"/>
        </w:rPr>
        <w:t>Выручка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от реализации определяется исходя из всех поступлений, связанных с расчетами за реализованные товары (работы, услуги) или имущественные права, выраженные в денежной и (или) натуральной формах (статья 249 Налогового кодекса Российской Федерации) за отчетный год.</w:t>
      </w:r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Значение показателя рассчитывается на основании следующих данных: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bdr w:val="none" w:sz="0" w:space="0" w:color="auto" w:frame="1"/>
          <w:lang w:eastAsia="ru-RU"/>
        </w:rPr>
        <w:t>При использовании предпринимателями общей системы налогообложения (ОСНО):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lastRenderedPageBreak/>
        <w:t>Юридические лица: 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основании значения показателя «Выручка» по годовому Отчету о финансовых результатах за отчетный год, который предоставляется в ФНС.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Индивидуальные предприниматели: 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основании суммы значений строк 010, 020 и 030 Раздела 2 Налоговой декларации по налогу на доходы физических лиц (форма 3-НДФЛ) за отчетный год, предоставляемой в ФНС.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bdr w:val="none" w:sz="0" w:space="0" w:color="auto" w:frame="1"/>
          <w:lang w:eastAsia="ru-RU"/>
        </w:rPr>
        <w:t>При использовании предпринимателями упрощенной системы налогообложения (УСН):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Юридические лица: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на основании значения показателя «Выручка» по годовому Отчету о финансовых результатах за отчетный год, который предоставляется в ФНС.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Индивидуальные предприниматели: 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основании значения строки 113 (объект налогообложения – доходы) или строки 213 (объект налогообложения – доходы, уменьшенные на величину расходов) Налоговой декларации по налогу, уплачиваемому в связи с применением упрощенной системы налогообложения, за отчетный год, которая предоставляется в ФНС.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bdr w:val="none" w:sz="0" w:space="0" w:color="auto" w:frame="1"/>
          <w:lang w:eastAsia="ru-RU"/>
        </w:rPr>
        <w:t>При использовании предпринимателями патентной системы налогообложения:</w:t>
      </w:r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Индивидуальные предприниматели: на основании Книги доходов и расходов за отчетный год, в которой в том числе учитываются все доходы и общая итоговая сумма за отчетный год.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bdr w:val="none" w:sz="0" w:space="0" w:color="auto" w:frame="1"/>
          <w:lang w:eastAsia="ru-RU"/>
        </w:rPr>
        <w:t>Среднесписочная численность работников (ССЧ) 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определяется на основании данных, предоставленных за отчетный год в ФНС.</w:t>
      </w:r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ССЧ исчисляется путем суммирования списочной численности работников за каждый календарный день года, включая праздничные (нерабочие) и выходные дни, и деления полученной суммы на число календарных дней года – в соответствии с Приказом Федеральной службы государственной статистики от 30.11.2022 № 872.</w:t>
      </w:r>
    </w:p>
    <w:p w:rsidR="00756630" w:rsidRPr="007F7AC6" w:rsidRDefault="00756630" w:rsidP="00FE6A9F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bdr w:val="none" w:sz="0" w:space="0" w:color="auto" w:frame="1"/>
          <w:lang w:eastAsia="ru-RU"/>
        </w:rPr>
        <w:t>Среднемесячная заработная плата.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Для расчета средней заработной платы учитываются все предусмотренные системой оплаты труда виды выплат, применяемые у работодателя независимо от источников этих выплат. При любом режиме работы расчет средней заработной платы работника производится исходя из фактически </w:t>
      </w:r>
      <w:r w:rsidR="00F13AFC"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выплеченной</w:t>
      </w: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ему заработной платы и фактически отработанного им времени за 12 календарных месяцев (статья 139 Трудового кодекса Российской Федерации).</w:t>
      </w:r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об особенностях порядка исчисления средней заработной платы, утвержденное Постановлением Правительства Российской Федерации от 24.12.2007 № 922, устанавливает особенности порядка исчисления средней заработной платы (среднего заработка) для всех случаев определения ее размера, предусмотренных Трудовым кодексом Российской Федерации, в частности указывает виды выплат, учитываемые при расчете средней заработной платы, включая оклад.</w:t>
      </w:r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Формируется  на</w:t>
      </w:r>
      <w:proofErr w:type="gramEnd"/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основании следующих данных и в следующем порядке:</w:t>
      </w:r>
    </w:p>
    <w:p w:rsidR="00756630" w:rsidRPr="007F7AC6" w:rsidRDefault="00756630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F7A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Данные из отчета по форме ЕФС-1 (Раздел 2) за 4 квартал отчетного года по строке 3 «Итого база для начисления страховых взносов (стр. 1 – стр. 2)» столбца 3 «Всего с начала расчетного периода» разделить на значение среднесписочной численности, указанной в этом же разделе отчета, разделить на 12 (месяцев) или количество месяцев деятельности субъекта МСП (с даты регистрации), зарегистрированного в году предоставления субсидии.</w:t>
      </w:r>
    </w:p>
    <w:p w:rsidR="002F002D" w:rsidRPr="007F7AC6" w:rsidRDefault="002F002D" w:rsidP="00FE6A9F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2F002D" w:rsidRPr="007F7AC6" w:rsidSect="00FE6A9F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30"/>
    <w:rsid w:val="002F002D"/>
    <w:rsid w:val="00585B5B"/>
    <w:rsid w:val="00756630"/>
    <w:rsid w:val="007F7AC6"/>
    <w:rsid w:val="009A6FBC"/>
    <w:rsid w:val="00B46F4E"/>
    <w:rsid w:val="00D622E1"/>
    <w:rsid w:val="00F13AFC"/>
    <w:rsid w:val="00FB2A7E"/>
    <w:rsid w:val="00FE6A9F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C1F25-CCC0-435A-8FE6-26778AF8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630"/>
    <w:rPr>
      <w:b/>
      <w:bCs/>
    </w:rPr>
  </w:style>
  <w:style w:type="character" w:styleId="a5">
    <w:name w:val="Hyperlink"/>
    <w:basedOn w:val="a0"/>
    <w:uiPriority w:val="99"/>
    <w:semiHidden/>
    <w:unhideWhenUsed/>
    <w:rsid w:val="00756630"/>
    <w:rPr>
      <w:color w:val="0000FF"/>
      <w:u w:val="single"/>
    </w:rPr>
  </w:style>
  <w:style w:type="character" w:styleId="a6">
    <w:name w:val="Emphasis"/>
    <w:basedOn w:val="a0"/>
    <w:uiPriority w:val="20"/>
    <w:qFormat/>
    <w:rsid w:val="00756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ОЭР - Булатова Т.Е.</cp:lastModifiedBy>
  <cp:revision>3</cp:revision>
  <dcterms:created xsi:type="dcterms:W3CDTF">2026-04-01T12:27:00Z</dcterms:created>
  <dcterms:modified xsi:type="dcterms:W3CDTF">2026-04-01T12:27:00Z</dcterms:modified>
</cp:coreProperties>
</file>