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2E9" w:rsidRPr="007A68A2" w:rsidRDefault="00A642E9" w:rsidP="00AE79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ДОКЛАД</w:t>
      </w:r>
    </w:p>
    <w:p w:rsidR="00282289" w:rsidRPr="007A68A2" w:rsidRDefault="00A642E9" w:rsidP="00AE79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развитии конкуренции в муниципальном образовании</w:t>
      </w:r>
    </w:p>
    <w:p w:rsidR="00820B38" w:rsidRPr="007A68A2" w:rsidRDefault="00A642E9" w:rsidP="00AE79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Сосновоборский городской округ</w:t>
      </w:r>
    </w:p>
    <w:p w:rsidR="00A642E9" w:rsidRPr="007A68A2" w:rsidRDefault="00FB2798" w:rsidP="00AE79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за </w:t>
      </w:r>
      <w:r w:rsidR="00EE4203" w:rsidRPr="007A68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первое полугодие </w:t>
      </w:r>
      <w:r w:rsidR="00A642E9" w:rsidRPr="007A68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</w:t>
      </w:r>
      <w:r w:rsidR="00C81133" w:rsidRPr="007A68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E916FC" w:rsidRPr="007A68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99320E" w:rsidRPr="007A68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642E9" w:rsidRPr="007A68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год</w:t>
      </w:r>
      <w:r w:rsidR="007405FA" w:rsidRPr="007A68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</w:p>
    <w:p w:rsidR="008E6844" w:rsidRPr="007A68A2" w:rsidRDefault="008E6844" w:rsidP="00AE79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F5389" w:rsidRPr="007A68A2" w:rsidRDefault="00421087" w:rsidP="00AE79F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6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исполнение Ука</w:t>
      </w:r>
      <w:r w:rsidR="000A46EF" w:rsidRPr="007A6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зов</w:t>
      </w:r>
      <w:r w:rsidR="008F5389" w:rsidRPr="007A6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Президента Российской Федерации от 07.05.2012 года № 601 «Об основных направлениях совершенствования систем</w:t>
      </w:r>
      <w:r w:rsidR="000A46EF" w:rsidRPr="007A6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 государственного управления», </w:t>
      </w:r>
      <w:r w:rsidR="008F5389" w:rsidRPr="007A6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21.12.2017 года № 618 «Об основных направлениях государственной политики по развитию конкуренции» и в целях внедрения Стандарта развития конкуренции в субъектах Российской Федерации, утвержденного распоряжением Правительства Российской Федерации № 768-р от 17.04.2019 (далее – Стандарт развития конкуренции), администрацией Сосновоборского городского округа реализован ряд мероприятий, направленных на организацию работы по развитию конкуренции на территории Сосновоборского городского округа. </w:t>
      </w:r>
    </w:p>
    <w:p w:rsidR="008F5389" w:rsidRPr="007A68A2" w:rsidRDefault="008F5389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667CA6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одписано соглашение между Комитетом экономического развития и инвестиционной деятел</w:t>
      </w:r>
      <w:r w:rsidR="000A46EF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ьности Ленинградской области и а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дминистрацией </w:t>
      </w:r>
      <w:r w:rsidRPr="007A6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Сосновоборского городского округа 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Ленинградской области о внедрении Стандарта развития конкуренции в Ленинградской области</w:t>
      </w:r>
      <w:r w:rsidR="00667CA6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 декабря 2020 года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67CA6" w:rsidRPr="007A68A2" w:rsidRDefault="00281E79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667CA6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D74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Распоряжением администрации Сосновоборского городского округа </w:t>
      </w:r>
      <w:r w:rsidR="008F5389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481B7B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27.03.2026 № 55-р </w:t>
      </w:r>
      <w:r w:rsidR="008F5389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81B7B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Плана мероприятий («дорожной карты») по содействию развитию конкуренции на территории муниципального образования Сосновоборский городской округ Ленинградской области на период 2026-2030 годы</w:t>
      </w:r>
      <w:r w:rsidR="000F2D74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»:</w:t>
      </w:r>
    </w:p>
    <w:p w:rsidR="00C027A7" w:rsidRPr="007A68A2" w:rsidRDefault="00C027A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7A6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определен уполномоченный орган </w:t>
      </w:r>
      <w:r w:rsidR="008F5389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содействию развитию конкуренции на 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территории Сосновоборского городского округа – отдел экономического развития администрации;</w:t>
      </w:r>
    </w:p>
    <w:p w:rsidR="00C027A7" w:rsidRPr="007A68A2" w:rsidRDefault="00C027A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A2513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утверждены Перечень товарных рынков для содействия развитию конкуренции в Сосновоборском городском округе и План мероприятий («дорожная карта») по содействию развитию конкуренции на рынках товаров, работ и услуг Сосновоборского 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городского округа на период 2026 - 2030 годы. </w:t>
      </w:r>
    </w:p>
    <w:p w:rsidR="008F5389" w:rsidRPr="007A68A2" w:rsidRDefault="00200C8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81E79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67CA6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5389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Общая информация по развитию конкуренции на территории </w:t>
      </w:r>
      <w:r w:rsidR="00930453" w:rsidRPr="007A6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Сосновоборского городского округа</w:t>
      </w:r>
      <w:r w:rsidR="008F5389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нормативно-правовые документы размещены на официальном сай</w:t>
      </w:r>
      <w:r w:rsidR="00667CA6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D92BCB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92BCB" w:rsidRPr="007A6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Сосновоборского городского округа</w:t>
      </w:r>
      <w:r w:rsidR="00C62FEC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F5389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733B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https://sbor.ru/economy/konkur</w:t>
      </w:r>
      <w:r w:rsidR="00D562E1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16DEF" w:rsidRPr="007A68A2" w:rsidRDefault="00243B69" w:rsidP="00AE79F5">
      <w:pPr>
        <w:pStyle w:val="Default"/>
        <w:ind w:firstLine="709"/>
        <w:jc w:val="both"/>
        <w:rPr>
          <w:bCs/>
          <w:color w:val="000000" w:themeColor="text1"/>
        </w:rPr>
      </w:pPr>
      <w:r w:rsidRPr="007A68A2">
        <w:rPr>
          <w:bCs/>
          <w:color w:val="000000" w:themeColor="text1"/>
          <w:lang w:val="en-US"/>
        </w:rPr>
        <w:t>I</w:t>
      </w:r>
      <w:r w:rsidR="00B0686C" w:rsidRPr="007A68A2">
        <w:rPr>
          <w:bCs/>
          <w:color w:val="000000" w:themeColor="text1"/>
        </w:rPr>
        <w:t>.</w:t>
      </w:r>
      <w:r w:rsidR="00E76EED" w:rsidRPr="007A68A2">
        <w:rPr>
          <w:bCs/>
          <w:color w:val="000000" w:themeColor="text1"/>
        </w:rPr>
        <w:t xml:space="preserve"> </w:t>
      </w:r>
      <w:r w:rsidR="009D1605" w:rsidRPr="007A68A2">
        <w:rPr>
          <w:bCs/>
          <w:color w:val="000000" w:themeColor="text1"/>
        </w:rPr>
        <w:t>О с</w:t>
      </w:r>
      <w:r w:rsidR="00516DEF" w:rsidRPr="007A68A2">
        <w:rPr>
          <w:bCs/>
          <w:color w:val="000000" w:themeColor="text1"/>
        </w:rPr>
        <w:t>остояни</w:t>
      </w:r>
      <w:r w:rsidR="009D1605" w:rsidRPr="007A68A2">
        <w:rPr>
          <w:bCs/>
          <w:color w:val="000000" w:themeColor="text1"/>
        </w:rPr>
        <w:t>и</w:t>
      </w:r>
      <w:r w:rsidR="00516DEF" w:rsidRPr="007A68A2">
        <w:rPr>
          <w:bCs/>
          <w:color w:val="000000" w:themeColor="text1"/>
        </w:rPr>
        <w:t xml:space="preserve"> и развити</w:t>
      </w:r>
      <w:r w:rsidR="009D1605" w:rsidRPr="007A68A2">
        <w:rPr>
          <w:bCs/>
          <w:color w:val="000000" w:themeColor="text1"/>
        </w:rPr>
        <w:t>и</w:t>
      </w:r>
      <w:r w:rsidR="00516DEF" w:rsidRPr="007A68A2">
        <w:rPr>
          <w:bCs/>
          <w:color w:val="000000" w:themeColor="text1"/>
        </w:rPr>
        <w:t xml:space="preserve"> конкурентной среды на рынках товаров, работ и услуг</w:t>
      </w:r>
      <w:r w:rsidR="00D92BCB" w:rsidRPr="007A68A2">
        <w:rPr>
          <w:color w:val="000000" w:themeColor="text1"/>
        </w:rPr>
        <w:t xml:space="preserve"> на территории </w:t>
      </w:r>
      <w:r w:rsidR="00D92BCB" w:rsidRPr="007A68A2">
        <w:rPr>
          <w:rFonts w:eastAsia="Times New Roman"/>
          <w:color w:val="000000" w:themeColor="text1"/>
          <w:lang w:eastAsia="ru-RU"/>
        </w:rPr>
        <w:t>Сосновоборского городского округа</w:t>
      </w:r>
      <w:r w:rsidR="00516DEF" w:rsidRPr="007A68A2">
        <w:rPr>
          <w:bCs/>
          <w:color w:val="000000" w:themeColor="text1"/>
        </w:rPr>
        <w:t>.</w:t>
      </w:r>
    </w:p>
    <w:p w:rsidR="00EF6D20" w:rsidRPr="007A68A2" w:rsidRDefault="009D1605" w:rsidP="00AE79F5">
      <w:pPr>
        <w:pStyle w:val="ae"/>
        <w:shd w:val="clear" w:color="auto" w:fill="auto"/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7A68A2">
        <w:rPr>
          <w:color w:val="000000" w:themeColor="text1"/>
          <w:sz w:val="24"/>
          <w:szCs w:val="24"/>
        </w:rPr>
        <w:t xml:space="preserve">Приоритетными рынками товаров, работ и услуг Сосновоборского городского округа являются: </w:t>
      </w:r>
      <w:r w:rsidRPr="007A68A2">
        <w:rPr>
          <w:bCs/>
          <w:color w:val="000000" w:themeColor="text1"/>
          <w:sz w:val="24"/>
          <w:szCs w:val="24"/>
        </w:rPr>
        <w:t>рынок выполнения работ по благоустройству городской среды,</w:t>
      </w:r>
      <w:r w:rsidR="00D562E1" w:rsidRPr="007A68A2">
        <w:rPr>
          <w:bCs/>
          <w:color w:val="000000" w:themeColor="text1"/>
          <w:sz w:val="24"/>
          <w:szCs w:val="24"/>
        </w:rPr>
        <w:t xml:space="preserve"> </w:t>
      </w:r>
      <w:r w:rsidRPr="007A68A2">
        <w:rPr>
          <w:bCs/>
          <w:color w:val="000000" w:themeColor="text1"/>
          <w:sz w:val="24"/>
          <w:szCs w:val="24"/>
        </w:rPr>
        <w:t>р</w:t>
      </w:r>
      <w:r w:rsidRPr="007A68A2">
        <w:rPr>
          <w:color w:val="000000" w:themeColor="text1"/>
          <w:sz w:val="24"/>
          <w:szCs w:val="24"/>
        </w:rPr>
        <w:t>ынок архитектурно-строительного проектирования</w:t>
      </w:r>
      <w:r w:rsidR="00EF6D20" w:rsidRPr="007A68A2">
        <w:rPr>
          <w:color w:val="000000" w:themeColor="text1"/>
          <w:sz w:val="24"/>
          <w:szCs w:val="24"/>
        </w:rPr>
        <w:t>, сфера наружной рекламы, рынок оказания услуг по перевозке пассажиров автомобильным транспортом по муниципальным маршрутам регулярных перевозок,</w:t>
      </w:r>
      <w:r w:rsidR="00EF6D20" w:rsidRPr="007A68A2">
        <w:rPr>
          <w:rStyle w:val="10pt0pt"/>
          <w:rFonts w:eastAsiaTheme="minorHAnsi"/>
          <w:color w:val="000000" w:themeColor="text1"/>
          <w:sz w:val="24"/>
          <w:szCs w:val="24"/>
        </w:rPr>
        <w:t xml:space="preserve"> </w:t>
      </w:r>
      <w:r w:rsidR="00EF6D20" w:rsidRPr="007A68A2">
        <w:rPr>
          <w:color w:val="000000" w:themeColor="text1"/>
          <w:sz w:val="24"/>
          <w:szCs w:val="24"/>
        </w:rPr>
        <w:t>рынок ритуальных услуг,</w:t>
      </w:r>
      <w:r w:rsidR="00EF6D20" w:rsidRPr="007A68A2">
        <w:rPr>
          <w:color w:val="000000" w:themeColor="text1"/>
          <w:sz w:val="24"/>
          <w:szCs w:val="24"/>
          <w:lang w:eastAsia="ru-RU"/>
        </w:rPr>
        <w:t xml:space="preserve"> рынок кадастровых и землеустроительных работ,</w:t>
      </w:r>
      <w:r w:rsidR="00EF6D20" w:rsidRPr="007A68A2">
        <w:rPr>
          <w:color w:val="000000" w:themeColor="text1"/>
          <w:sz w:val="24"/>
          <w:szCs w:val="24"/>
        </w:rPr>
        <w:t xml:space="preserve"> </w:t>
      </w:r>
      <w:r w:rsidR="00EF6D20" w:rsidRPr="007A68A2">
        <w:rPr>
          <w:color w:val="000000" w:themeColor="text1"/>
          <w:sz w:val="24"/>
          <w:szCs w:val="24"/>
          <w:lang w:eastAsia="ru-RU"/>
        </w:rPr>
        <w:t>рынок легкой промышленности, рынок обработки древесины и производства изделий из дерева.</w:t>
      </w:r>
    </w:p>
    <w:p w:rsidR="00B818E6" w:rsidRPr="007A68A2" w:rsidRDefault="00B818E6" w:rsidP="00C11A8C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Рынок выполнения работ по благоустройству городской среды.</w:t>
      </w:r>
    </w:p>
    <w:p w:rsidR="00B818E6" w:rsidRPr="007A68A2" w:rsidRDefault="00B818E6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 по содержанию объектов внешнего благоустройства Сосновоборского городского округа проводятся на основании муниципальных контрактов, заключенных по результатам рассмотрения заявок на участие в отк</w:t>
      </w:r>
      <w:r w:rsidR="00D8423F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рытом аукционе, конкурсе, а так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же в соответствии с муниципальным заданием СМБУ «</w:t>
      </w:r>
      <w:proofErr w:type="spellStart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Спецавтотранс</w:t>
      </w:r>
      <w:proofErr w:type="spellEnd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B818E6" w:rsidRPr="007A68A2" w:rsidRDefault="00B818E6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Все выполненные работы в течение</w:t>
      </w:r>
      <w:r w:rsidR="004D6C6B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2629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первого полугодия 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E916FC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отделу внешнего благоустройства и дорожного хозяйства проводились через конкурсные процедуры, МК заключены с организациями частной формы собственности.</w:t>
      </w:r>
    </w:p>
    <w:p w:rsidR="008F103D" w:rsidRPr="007A68A2" w:rsidRDefault="008F103D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94AAF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Рынок архитектурно-строительного проектирования.</w:t>
      </w:r>
    </w:p>
    <w:p w:rsidR="008F103D" w:rsidRPr="007A68A2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Сосновоборского городского округа хозяйствующими субъектами на рынке являются: ООО «Спецпроект», ООО «Архитектурная мастерская «Канон», ООО «Архитектурная студия «Контур», ООО «</w:t>
      </w:r>
      <w:proofErr w:type="spellStart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Геопроект</w:t>
      </w:r>
      <w:proofErr w:type="spellEnd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», ООО «Экспертное комплексное бюро «эталон нормы».</w:t>
      </w:r>
    </w:p>
    <w:p w:rsidR="008F103D" w:rsidRPr="007A68A2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Схема размещения рекламных конструкций обновляется по мере внесения изменений. Регулярно проводится мониторинг рекламных конструкций, консультирование 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предпринимателей в части размещения рекламных конструкций на территории Сосновоборского городского округа.</w:t>
      </w:r>
    </w:p>
    <w:p w:rsidR="008F103D" w:rsidRPr="007A68A2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НПА </w:t>
      </w:r>
      <w:r w:rsidR="00025DEB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информация о проведении конкурсов и семинаров 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размещен</w:t>
      </w:r>
      <w:r w:rsidR="00025DEB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официальном сайте Сосновоборского городского округа. Перечень НПА обновляется по мере внесения изменений. Создана и функционируе</w:t>
      </w:r>
      <w:r w:rsidR="00025DEB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т ГИСОГД Ленинградской области.</w:t>
      </w:r>
    </w:p>
    <w:p w:rsidR="008F103D" w:rsidRPr="007A68A2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3. Рынок оказания услуг по перевозке пассажиров автомобильным транспортом по муниципальным маршрутам регулярных перевозок.</w:t>
      </w:r>
    </w:p>
    <w:p w:rsidR="008F103D" w:rsidRPr="007A68A2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Пассажирские перевозки по муниципальным маршрутам по регулируемым тарифам осуществляются исполнителями, с которыми заключены муниципальные контракты по результатам аукционов </w:t>
      </w:r>
      <w:r w:rsidR="00AE79F5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запроса котировок 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электронной форме. Деятельность по перевозке пассажиров автомобильным транспортом по муниципальным маршрутам регулярных перевозок осуществляют 2 перевозчика:</w:t>
      </w:r>
    </w:p>
    <w:p w:rsidR="008F103D" w:rsidRPr="007A68A2" w:rsidRDefault="00AE79F5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- ООО «Ленинградская АЭС-Авто»;</w:t>
      </w:r>
    </w:p>
    <w:p w:rsidR="008F103D" w:rsidRPr="007A68A2" w:rsidRDefault="00B31079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 ООО «</w:t>
      </w:r>
      <w:proofErr w:type="spellStart"/>
      <w:r w:rsidRPr="007A68A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Эле</w:t>
      </w:r>
      <w:r w:rsidR="008F103D" w:rsidRPr="007A68A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сТранс</w:t>
      </w:r>
      <w:proofErr w:type="spellEnd"/>
      <w:r w:rsidR="008F103D" w:rsidRPr="007A68A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»</w:t>
      </w:r>
      <w:r w:rsidR="008F103D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103D" w:rsidRPr="007A68A2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4. Рынок ритуальных услуг.</w:t>
      </w:r>
    </w:p>
    <w:p w:rsidR="008F103D" w:rsidRPr="007A68A2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Ритуальные услуги и содержание общественных кладбищ осуществляются п</w:t>
      </w:r>
      <w:r w:rsidR="00AE79F5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о итогам проведенных конкурсов,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аукционов</w:t>
      </w:r>
      <w:r w:rsidR="00AE79F5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запроса котировок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электронной форме:</w:t>
      </w:r>
    </w:p>
    <w:p w:rsidR="008F103D" w:rsidRPr="007A68A2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- на право оказания ритуальных услуг по итогам открытого конкурса заключен договор с ООО «</w:t>
      </w:r>
      <w:proofErr w:type="spellStart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Сосновоборская</w:t>
      </w:r>
      <w:proofErr w:type="spellEnd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ритуальная компания»;</w:t>
      </w:r>
    </w:p>
    <w:p w:rsidR="008F103D" w:rsidRPr="007A68A2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- уборка кладбищ и мемориала по итогам электронного аукциона заключен МК с ООО «</w:t>
      </w:r>
      <w:proofErr w:type="spellStart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Сосновоборская</w:t>
      </w:r>
      <w:proofErr w:type="spellEnd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ритуальная компания»;</w:t>
      </w:r>
    </w:p>
    <w:p w:rsidR="00DC0AC4" w:rsidRPr="007A68A2" w:rsidRDefault="008F103D" w:rsidP="00F60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- транспортировка тел умерших</w:t>
      </w:r>
      <w:r w:rsidR="0055179B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морг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электронного аукциона заключен МК с ООО «</w:t>
      </w:r>
      <w:proofErr w:type="spellStart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Сосновоборская</w:t>
      </w:r>
      <w:proofErr w:type="spellEnd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ритуальная компания». Деятельность по</w:t>
      </w:r>
      <w:r w:rsidR="00F60230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ритуальным услугам осуществляет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ООО «</w:t>
      </w:r>
      <w:proofErr w:type="spellStart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Сосновоборская</w:t>
      </w:r>
      <w:proofErr w:type="spellEnd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ритуальная компания</w:t>
      </w:r>
      <w:r w:rsidR="00F60230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103D" w:rsidRPr="007A68A2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294AAF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Рынок кадастровых и землеустроительных работ</w:t>
      </w:r>
      <w:r w:rsidR="00097204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103D" w:rsidRPr="007A68A2" w:rsidRDefault="008F103D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 направлены на реорганизацию или ликвидацию муниципальных унитарных предприятий, осуществляющих деятельность в сфере кадастровых и землеустроительных работ, в соответствии с Федеральным законом от 27.12.2019 № 485-ФЗ "О внесении изменений в Федеральный закон "О государственных и муниципальных унитарных предприятиях" и Федеральный закон "О защите конкуренции".</w:t>
      </w:r>
    </w:p>
    <w:p w:rsidR="008F103D" w:rsidRPr="007A68A2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294AAF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Рынок легкой промышленности.</w:t>
      </w:r>
    </w:p>
    <w:p w:rsidR="008F103D" w:rsidRPr="007A68A2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Сосновоборского городского округа хозяйствующими субъектами на рынке являются: ООО «ТД АМАРО» компания производит полный цикл рабочей одежды и текстильных изделий; является торгово-швейным предприятиям, снабжающим производственные, строительные организации средствами индивидуальной защиты в короткие сроки с максимально гибкими условиями.</w:t>
      </w:r>
    </w:p>
    <w:p w:rsidR="00F905C4" w:rsidRPr="007A68A2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«ЭЛКОМ» - основным видом деятельности является </w:t>
      </w:r>
      <w:hyperlink r:id="rId8" w:history="1">
        <w:r w:rsidRPr="007A68A2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производство вязаных и трикотажных изделий одежды</w:t>
        </w:r>
      </w:hyperlink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F103D" w:rsidRPr="007A68A2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7. Рынок обработки древесины и производства изделий из дерева.</w:t>
      </w:r>
    </w:p>
    <w:p w:rsidR="008F103D" w:rsidRPr="007A68A2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Сосновоборского городского округа хозяйствующими субъектами на рынке являются:</w:t>
      </w:r>
    </w:p>
    <w:p w:rsidR="008F103D" w:rsidRPr="007A68A2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ИП </w:t>
      </w:r>
      <w:proofErr w:type="spellStart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Мусихин</w:t>
      </w:r>
      <w:proofErr w:type="spellEnd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Евгений Викторович - основной вид деятельности производство прочих деревянных изделий; производство изделий из пробки, соломки и материалов для плетения. </w:t>
      </w:r>
    </w:p>
    <w:p w:rsidR="008F103D" w:rsidRPr="007A68A2" w:rsidRDefault="008F103D" w:rsidP="00AE79F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ИП Юрков Антон Сергеевич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A68A2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основным видом деятельности является производство прочих деревянных изделий производство изделий из пробки, соломки и материалов для плетения. Сейчас это процветающий бизнес, в котором сосредоточилось все, о чем может мечтать владелец собственного дела: творчество, внушительные заказы, обмен опытом, дружба и семейное благополучие.</w:t>
      </w:r>
    </w:p>
    <w:p w:rsidR="008F103D" w:rsidRPr="007A68A2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94AAF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Системные мероприятия по развитию конкурентной среды в Сосновоборском городском округе.</w:t>
      </w:r>
    </w:p>
    <w:p w:rsidR="008F103D" w:rsidRPr="007A68A2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Style w:val="1"/>
          <w:rFonts w:ascii="Times New Roman" w:hAnsi="Times New Roman" w:cs="Times New Roman"/>
          <w:b w:val="0"/>
          <w:color w:val="000000" w:themeColor="text1"/>
          <w:sz w:val="24"/>
          <w:szCs w:val="24"/>
        </w:rPr>
        <w:t>1.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конкурентоспособности товаров, работ, услуг субъектов малого и среднего предпринимательства:</w:t>
      </w:r>
    </w:p>
    <w:p w:rsidR="008F103D" w:rsidRPr="007A68A2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Style w:val="ArialNarrow9pt0pt"/>
          <w:rFonts w:ascii="Times New Roman" w:hAnsi="Times New Roman" w:cs="Times New Roman"/>
          <w:b w:val="0"/>
          <w:color w:val="000000" w:themeColor="text1"/>
          <w:sz w:val="24"/>
          <w:szCs w:val="24"/>
        </w:rPr>
        <w:t>-</w:t>
      </w:r>
      <w:r w:rsidR="00294AAF" w:rsidRPr="007A68A2">
        <w:rPr>
          <w:rStyle w:val="ArialNarrow9pt0pt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7A68A2">
        <w:rPr>
          <w:rStyle w:val="ArialNarrow9pt0pt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информационная, консультационная и образовательная поддержка субъектов малого </w:t>
      </w:r>
      <w:r w:rsidRPr="007A68A2">
        <w:rPr>
          <w:rStyle w:val="ArialNarrow9pt0pt"/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 xml:space="preserve">и среднего предпринимательства - 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уникальных клиентов-субъектов СМП, получивших поддержку -</w:t>
      </w:r>
      <w:r w:rsidR="004C2FD5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356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</w:t>
      </w:r>
      <w:r w:rsidRPr="007A68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Всего </w:t>
      </w:r>
      <w:r w:rsidRPr="007A68A2">
        <w:rPr>
          <w:rStyle w:val="ArialNarrow9pt0pt"/>
          <w:rFonts w:ascii="Times New Roman" w:hAnsi="Times New Roman" w:cs="Times New Roman"/>
          <w:b w:val="0"/>
          <w:color w:val="000000" w:themeColor="text1"/>
          <w:sz w:val="24"/>
          <w:szCs w:val="24"/>
        </w:rPr>
        <w:t>субъектов</w:t>
      </w:r>
      <w:r w:rsidRPr="007A68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СМП по данным Реестра ФНС 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на </w:t>
      </w:r>
      <w:r w:rsidR="008977AF" w:rsidRPr="007A68A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10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="004A57A6" w:rsidRPr="007A68A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="004C2FD5" w:rsidRPr="007A68A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7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.202</w:t>
      </w:r>
      <w:r w:rsidR="00B049D7" w:rsidRPr="007A68A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C2FD5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2071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</w:t>
      </w:r>
    </w:p>
    <w:p w:rsidR="008F103D" w:rsidRPr="007A68A2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Style w:val="95pt0pt"/>
          <w:rFonts w:eastAsia="Calibri"/>
          <w:b w:val="0"/>
          <w:color w:val="000000" w:themeColor="text1"/>
          <w:sz w:val="24"/>
          <w:szCs w:val="24"/>
        </w:rPr>
        <w:t>-</w:t>
      </w:r>
      <w:r w:rsidR="00294AAF" w:rsidRPr="007A68A2">
        <w:rPr>
          <w:rStyle w:val="95pt0pt"/>
          <w:rFonts w:eastAsia="Calibri"/>
          <w:b w:val="0"/>
          <w:color w:val="000000" w:themeColor="text1"/>
          <w:sz w:val="24"/>
          <w:szCs w:val="24"/>
        </w:rPr>
        <w:t xml:space="preserve"> о</w:t>
      </w:r>
      <w:r w:rsidRPr="007A68A2">
        <w:rPr>
          <w:rStyle w:val="95pt0pt"/>
          <w:rFonts w:eastAsia="Calibri"/>
          <w:b w:val="0"/>
          <w:color w:val="000000" w:themeColor="text1"/>
          <w:sz w:val="24"/>
          <w:szCs w:val="24"/>
        </w:rPr>
        <w:t xml:space="preserve">казание методической и консультационной помощи 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оказание консультативной </w:t>
      </w:r>
      <w:r w:rsidR="007405FA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помощи гражданам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- главам крестьянских (фермерских) хозяйств, членам таких хозяйств, гражданам, ведущим личные подсобные хозяйства или занимающиеся садоводством, огородничеством</w:t>
      </w:r>
      <w:r w:rsidRPr="007A68A2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 по вопросам участия в ярмарках и организации нестационарных торговых объектов</w:t>
      </w:r>
      <w:r w:rsidR="00693A62" w:rsidRPr="007A68A2">
        <w:rPr>
          <w:rStyle w:val="95pt0pt"/>
          <w:rFonts w:eastAsia="Arial"/>
          <w:b w:val="0"/>
          <w:color w:val="000000" w:themeColor="text1"/>
          <w:sz w:val="24"/>
          <w:szCs w:val="24"/>
        </w:rPr>
        <w:t>.</w:t>
      </w:r>
    </w:p>
    <w:p w:rsidR="000D4002" w:rsidRPr="007A68A2" w:rsidRDefault="000D4002" w:rsidP="00AE79F5">
      <w:pPr>
        <w:spacing w:after="0" w:line="240" w:lineRule="auto"/>
        <w:ind w:firstLine="709"/>
        <w:jc w:val="both"/>
        <w:rPr>
          <w:rStyle w:val="10pt0pt"/>
          <w:rFonts w:eastAsia="Calibri"/>
          <w:b w:val="0"/>
          <w:color w:val="000000" w:themeColor="text1"/>
          <w:sz w:val="24"/>
          <w:szCs w:val="24"/>
        </w:rPr>
      </w:pPr>
      <w:r w:rsidRPr="007A68A2">
        <w:rPr>
          <w:rStyle w:val="10pt0pt"/>
          <w:rFonts w:eastAsia="Calibri"/>
          <w:b w:val="0"/>
          <w:color w:val="000000" w:themeColor="text1"/>
          <w:sz w:val="24"/>
          <w:szCs w:val="24"/>
        </w:rPr>
        <w:t>2. Устранение избыточного государственного и муниципального регулирования, а также снижение административных барьеров.</w:t>
      </w:r>
    </w:p>
    <w:p w:rsidR="007405FA" w:rsidRPr="007A68A2" w:rsidRDefault="000D4002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C18C7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роведение экспертизы нормативных актов Сосновоборского городского округа, затрагивающих вопросы осуществления предпринимательской и инвес</w:t>
      </w:r>
      <w:r w:rsidR="00C34CC6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тиционной деятельности. </w:t>
      </w:r>
      <w:r w:rsidR="004011EA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4CC6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кспертиз </w:t>
      </w:r>
      <w:r w:rsidR="004011EA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но</w:t>
      </w:r>
      <w:r w:rsidR="004C730C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4011EA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мативно-правовых актов</w:t>
      </w:r>
      <w:r w:rsidR="00C34CC6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проводилось.</w:t>
      </w:r>
    </w:p>
    <w:p w:rsidR="000D4002" w:rsidRPr="007A68A2" w:rsidRDefault="000D4002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E77AD8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процессов управления в рамках полномочий органов местного самоуправления, закрепленных за ними законодательством Российской Федерации, объектами государственной собственности субъекта Российской Федерации и муниципальной собственности, а также на ограничение влияния государственных и муниципальных предприятий на конкуренцию</w:t>
      </w:r>
      <w:r w:rsidR="00FF1FCF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D4002" w:rsidRPr="007A68A2" w:rsidRDefault="004E6340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Style w:val="95pt0pt"/>
          <w:rFonts w:eastAsia="Arial"/>
          <w:b w:val="0"/>
          <w:color w:val="000000" w:themeColor="text1"/>
          <w:sz w:val="24"/>
          <w:szCs w:val="24"/>
        </w:rPr>
        <w:t>-</w:t>
      </w:r>
      <w:r w:rsidR="003B495E" w:rsidRPr="007A68A2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 </w:t>
      </w:r>
      <w:r w:rsidR="000D4002" w:rsidRPr="007A68A2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Обеспечение равных условий доступа к информации о реализации муниципального имущества, путем размещения указанной информации на официальном сайте о проведении торгов Российской Федерации </w:t>
      </w:r>
      <w:r w:rsidR="000D4002" w:rsidRPr="007A68A2">
        <w:rPr>
          <w:rStyle w:val="95pt0pt"/>
          <w:rFonts w:eastAsia="Arial"/>
          <w:b w:val="0"/>
          <w:color w:val="000000" w:themeColor="text1"/>
          <w:sz w:val="24"/>
          <w:szCs w:val="24"/>
          <w:lang w:bidi="en-US"/>
        </w:rPr>
        <w:t>(</w:t>
      </w:r>
      <w:hyperlink r:id="rId9" w:history="1">
        <w:r w:rsidR="000D4002" w:rsidRPr="007A68A2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www</w:t>
        </w:r>
        <w:r w:rsidR="000D4002" w:rsidRPr="007A68A2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="000D4002" w:rsidRPr="007A68A2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torgi</w:t>
        </w:r>
        <w:proofErr w:type="spellEnd"/>
        <w:r w:rsidR="000D4002" w:rsidRPr="007A68A2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="000D4002" w:rsidRPr="007A68A2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gov</w:t>
        </w:r>
        <w:proofErr w:type="spellEnd"/>
        <w:r w:rsidR="000D4002" w:rsidRPr="007A68A2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="000D4002" w:rsidRPr="007A68A2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ru</w:t>
        </w:r>
        <w:proofErr w:type="spellEnd"/>
      </w:hyperlink>
      <w:r w:rsidR="000D4002" w:rsidRPr="007A68A2">
        <w:rPr>
          <w:rStyle w:val="95pt0pt"/>
          <w:rFonts w:eastAsia="Arial"/>
          <w:b w:val="0"/>
          <w:color w:val="000000" w:themeColor="text1"/>
          <w:sz w:val="24"/>
          <w:szCs w:val="24"/>
          <w:lang w:bidi="en-US"/>
        </w:rPr>
        <w:t xml:space="preserve">) </w:t>
      </w:r>
      <w:r w:rsidR="000D4002" w:rsidRPr="007A68A2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и на официальном сайте </w:t>
      </w:r>
      <w:r w:rsidR="000D4002" w:rsidRPr="007A68A2">
        <w:rPr>
          <w:rStyle w:val="ArialNarrow9pt0pt"/>
          <w:rFonts w:ascii="Times New Roman" w:hAnsi="Times New Roman" w:cs="Times New Roman"/>
          <w:b w:val="0"/>
          <w:color w:val="000000" w:themeColor="text1"/>
          <w:sz w:val="24"/>
          <w:szCs w:val="24"/>
        </w:rPr>
        <w:t>Сосновоборского городского округа</w:t>
      </w:r>
      <w:r w:rsidR="000D4002" w:rsidRPr="007A68A2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 в сети «Интернет»</w:t>
      </w:r>
      <w:r w:rsidR="00C34CC6" w:rsidRPr="007A68A2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 </w:t>
      </w:r>
      <w:r w:rsidR="000D4002" w:rsidRPr="007A68A2">
        <w:rPr>
          <w:rStyle w:val="95pt0pt"/>
          <w:rFonts w:eastAsia="Arial"/>
          <w:b w:val="0"/>
          <w:color w:val="000000" w:themeColor="text1"/>
          <w:sz w:val="24"/>
          <w:szCs w:val="24"/>
        </w:rPr>
        <w:t>-</w:t>
      </w:r>
      <w:r w:rsidR="000D4002" w:rsidRPr="007A68A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0D4002" w:rsidRPr="007A68A2">
        <w:rPr>
          <w:rStyle w:val="95pt0pt"/>
          <w:rFonts w:eastAsia="Arial"/>
          <w:b w:val="0"/>
          <w:color w:val="000000" w:themeColor="text1"/>
          <w:sz w:val="24"/>
          <w:szCs w:val="24"/>
        </w:rPr>
        <w:t>Количество объявленных аукционов</w:t>
      </w:r>
      <w:r w:rsidR="00FF1FCF" w:rsidRPr="007A68A2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 </w:t>
      </w:r>
      <w:r w:rsidR="000D4002" w:rsidRPr="007A68A2">
        <w:rPr>
          <w:rStyle w:val="95pt0pt"/>
          <w:rFonts w:eastAsia="Arial"/>
          <w:b w:val="0"/>
          <w:color w:val="000000" w:themeColor="text1"/>
          <w:sz w:val="24"/>
          <w:szCs w:val="24"/>
        </w:rPr>
        <w:t>-</w:t>
      </w:r>
      <w:r w:rsidR="004C2FD5" w:rsidRPr="007A68A2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 8</w:t>
      </w:r>
      <w:r w:rsidR="000D4002" w:rsidRPr="007A68A2">
        <w:rPr>
          <w:rStyle w:val="95pt0pt"/>
          <w:rFonts w:eastAsia="Arial"/>
          <w:b w:val="0"/>
          <w:color w:val="000000" w:themeColor="text1"/>
          <w:sz w:val="24"/>
          <w:szCs w:val="24"/>
        </w:rPr>
        <w:t>.</w:t>
      </w:r>
      <w:r w:rsidR="000D4002" w:rsidRPr="007A68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D4002" w:rsidRPr="007A68A2" w:rsidRDefault="00F0391B" w:rsidP="00AE79F5">
      <w:pPr>
        <w:pStyle w:val="4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7A68A2">
        <w:rPr>
          <w:rStyle w:val="10pt"/>
          <w:rFonts w:eastAsiaTheme="minorHAnsi"/>
          <w:color w:val="000000" w:themeColor="text1"/>
          <w:sz w:val="24"/>
          <w:szCs w:val="24"/>
        </w:rPr>
        <w:t>-</w:t>
      </w:r>
      <w:r w:rsidR="003B495E" w:rsidRPr="007A68A2">
        <w:rPr>
          <w:rStyle w:val="10pt"/>
          <w:rFonts w:eastAsiaTheme="minorHAnsi"/>
          <w:color w:val="000000" w:themeColor="text1"/>
          <w:sz w:val="24"/>
          <w:szCs w:val="24"/>
        </w:rPr>
        <w:t xml:space="preserve"> </w:t>
      </w:r>
      <w:r w:rsidR="000D4002" w:rsidRPr="007A68A2">
        <w:rPr>
          <w:rStyle w:val="10pt"/>
          <w:rFonts w:eastAsiaTheme="minorHAnsi"/>
          <w:color w:val="000000" w:themeColor="text1"/>
          <w:sz w:val="24"/>
          <w:szCs w:val="24"/>
        </w:rPr>
        <w:t xml:space="preserve">Снижение количества муниципальных унитарных предприятий </w:t>
      </w:r>
      <w:r w:rsidR="000D4002" w:rsidRPr="007A68A2">
        <w:rPr>
          <w:rStyle w:val="10pt"/>
          <w:rFonts w:eastAsiaTheme="minorHAnsi"/>
          <w:color w:val="000000" w:themeColor="text1"/>
          <w:spacing w:val="4"/>
          <w:sz w:val="24"/>
          <w:szCs w:val="24"/>
        </w:rPr>
        <w:t xml:space="preserve">Сосновоборского городского округа: </w:t>
      </w:r>
      <w:r w:rsidR="000D4002" w:rsidRPr="007A68A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действующих -  </w:t>
      </w:r>
      <w:r w:rsidR="007405FA" w:rsidRPr="007A68A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</w:t>
      </w:r>
      <w:r w:rsidR="000D4002" w:rsidRPr="007A68A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предприятия</w:t>
      </w:r>
      <w:r w:rsidR="00F957AF" w:rsidRPr="007A68A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0D4002" w:rsidRPr="007A68A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Одно муниципальное предприятие - СМУП ЖКО "Комфорт" не может быть ликвидировано по причине наличия налоговой задолженности, в </w:t>
      </w:r>
      <w:r w:rsidR="004434C6" w:rsidRPr="007A68A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связи,</w:t>
      </w:r>
      <w:r w:rsidR="000D4002" w:rsidRPr="007A68A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с чем инициирована процедура банкротства.</w:t>
      </w:r>
    </w:p>
    <w:p w:rsidR="000D4002" w:rsidRPr="007A68A2" w:rsidRDefault="00F0391B" w:rsidP="00AE79F5">
      <w:pPr>
        <w:pStyle w:val="4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A68A2">
        <w:rPr>
          <w:rStyle w:val="10pt"/>
          <w:rFonts w:eastAsiaTheme="minorHAnsi"/>
          <w:color w:val="000000" w:themeColor="text1"/>
          <w:sz w:val="24"/>
          <w:szCs w:val="24"/>
        </w:rPr>
        <w:t xml:space="preserve">- </w:t>
      </w:r>
      <w:r w:rsidR="000D4002" w:rsidRPr="007A68A2">
        <w:rPr>
          <w:rStyle w:val="95pt0pt"/>
          <w:rFonts w:eastAsia="Arial"/>
          <w:color w:val="000000" w:themeColor="text1"/>
          <w:sz w:val="24"/>
          <w:szCs w:val="24"/>
        </w:rPr>
        <w:t>Оказание имущественной поддержки субъектам малого и среднего предпринимательства -</w:t>
      </w:r>
      <w:r w:rsidR="000D4002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4002" w:rsidRPr="007A68A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порядке предоставления муниципальной преференции нежилые помещения переданы в </w:t>
      </w:r>
      <w:r w:rsidR="008B1D4E" w:rsidRPr="007A68A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аренду 16</w:t>
      </w:r>
      <w:r w:rsidR="00942B46" w:rsidRPr="007A68A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0D4002" w:rsidRPr="007A68A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субъектам малого и среднего предпринимательства</w:t>
      </w:r>
      <w:r w:rsidR="00CD2442" w:rsidRPr="007A68A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4A47F7" w:rsidRPr="007A68A2" w:rsidRDefault="00E41486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="00B0686C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B0B41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615E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О п</w:t>
      </w:r>
      <w:r w:rsidR="004A47F7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оказател</w:t>
      </w:r>
      <w:r w:rsidR="0013615E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ях</w:t>
      </w:r>
      <w:r w:rsidR="004A47F7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, характеризующи</w:t>
      </w:r>
      <w:r w:rsidR="0013615E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4A47F7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состояние экономики и социальной сферы Сосновоборского городского округа за </w:t>
      </w:r>
      <w:r w:rsidR="008B1D4E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первое полугодие</w:t>
      </w:r>
      <w:r w:rsidR="004D4D44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47F7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FC45E8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A47F7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7405FA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A47F7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041FA" w:rsidRPr="007A68A2" w:rsidRDefault="0013615E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64038190"/>
      <w:bookmarkStart w:id="1" w:name="_Toc65767822"/>
      <w:bookmarkStart w:id="2" w:name="_Toc81574879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Сосновоборского городского округа действуют три крупные организации, осуществляющие научные исследования и разработки, как по государственному заказу, так и по договорам с негосударственными заказчиками. Лидерами этой отрасли являются: ФГУП «НИТИ им. А.П. Александрова», АО «НИИ ОЭП».</w:t>
      </w:r>
    </w:p>
    <w:p w:rsidR="004F0F96" w:rsidRPr="007A68A2" w:rsidRDefault="004A47F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Потребительский рынок</w:t>
      </w:r>
      <w:bookmarkEnd w:id="0"/>
      <w:bookmarkEnd w:id="1"/>
      <w:bookmarkEnd w:id="2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предпринимательство</w:t>
      </w:r>
      <w:r w:rsidR="002F573E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0F96" w:rsidRPr="007A68A2" w:rsidRDefault="004A47F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Система потребительского рынка товаров и услуг – одна из важнейших и наиболее развивающихся отраслей городского округа, призванная стабильно и на высоком уровне обеспечивать жителей городского округа товарами и услугами. Потребительский рынок городского округа характеризуется как стабильный и устойчивый, имеющий достаточно высокую степень товарного насыщения.</w:t>
      </w:r>
    </w:p>
    <w:p w:rsidR="00007E5E" w:rsidRPr="007A68A2" w:rsidRDefault="00007E5E" w:rsidP="00AE1B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78970818"/>
      <w:bookmarkStart w:id="4" w:name="_Toc81574882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Потребительский рынок городского округа представлен такими современными торговыми форматами как супермаркеты, универсальные, специализированные продовольственные и непродовольственные магазины, магазины у дома. На территории городского округа действует более 20 торговых сетей, крупнейшими из которых являются «Магнит» (12 магазинов), «</w:t>
      </w:r>
      <w:proofErr w:type="spellStart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Дикси</w:t>
      </w:r>
      <w:proofErr w:type="spellEnd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» (11 магазинов), «Верны</w:t>
      </w:r>
      <w:r w:rsidR="00C34CC6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й» (7 магазинов), «Пятерочка» (5 магазинов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), «Перекресток» (2 магазина), «Лента» (2 магазина), «</w:t>
      </w:r>
      <w:proofErr w:type="spellStart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Вимос</w:t>
      </w:r>
      <w:proofErr w:type="spellEnd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» (1 магазин), «Светофор» (1 магазин), «</w:t>
      </w:r>
      <w:proofErr w:type="spellStart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Семишагофф</w:t>
      </w:r>
      <w:proofErr w:type="spellEnd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» (1 магазин), «Красное и Белое» (9 магазинов), «</w:t>
      </w:r>
      <w:proofErr w:type="spellStart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РосАл</w:t>
      </w:r>
      <w:proofErr w:type="spellEnd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» (3 магазина), «Градусы Всего Мира» (3 магазина), «</w:t>
      </w:r>
      <w:proofErr w:type="spellStart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Винлаб</w:t>
      </w:r>
      <w:proofErr w:type="spellEnd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» (2 магазина), «</w:t>
      </w:r>
      <w:proofErr w:type="spellStart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Мильстрим</w:t>
      </w:r>
      <w:proofErr w:type="spellEnd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» (1 магазин), «</w:t>
      </w:r>
      <w:proofErr w:type="spellStart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Фанагория</w:t>
      </w:r>
      <w:proofErr w:type="spellEnd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» (1 магазин), «</w:t>
      </w:r>
      <w:proofErr w:type="spellStart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FixPrice</w:t>
      </w:r>
      <w:proofErr w:type="spellEnd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(5 магазинов), «Магнит </w:t>
      </w:r>
      <w:proofErr w:type="spellStart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Косметик</w:t>
      </w:r>
      <w:proofErr w:type="spellEnd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» (4 магазина), «Улыбка Радуги» (3 ма</w:t>
      </w:r>
      <w:r w:rsidR="00A604FA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газина), «</w:t>
      </w:r>
      <w:proofErr w:type="spellStart"/>
      <w:r w:rsidR="00A604FA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Доброцен</w:t>
      </w:r>
      <w:proofErr w:type="spellEnd"/>
      <w:r w:rsidR="00A604FA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(1 магазин), "DNS-цифровой" - 2 магазина. </w:t>
      </w:r>
    </w:p>
    <w:p w:rsidR="00007E5E" w:rsidRPr="007A68A2" w:rsidRDefault="00AC49D9" w:rsidP="00C34C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По состоянию на 01.07</w:t>
      </w:r>
      <w:r w:rsidR="00007E5E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.2026г. на территории городско</w:t>
      </w:r>
      <w:r w:rsidR="00C34CC6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округа функционировало более </w:t>
      </w:r>
      <w:r w:rsidR="00007E5E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300 объектов стац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ионарной розничной торговли, 140</w:t>
      </w:r>
      <w:r w:rsidR="00007E5E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нестационарных торговых объектов. </w:t>
      </w:r>
    </w:p>
    <w:p w:rsidR="00007E5E" w:rsidRPr="007A68A2" w:rsidRDefault="00007E5E" w:rsidP="00007E5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47F7" w:rsidRPr="007A68A2" w:rsidRDefault="004A47F7" w:rsidP="00007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Социальная сфера</w:t>
      </w:r>
      <w:bookmarkEnd w:id="3"/>
      <w:bookmarkEnd w:id="4"/>
    </w:p>
    <w:p w:rsidR="00D31D55" w:rsidRPr="007A68A2" w:rsidRDefault="00D31D55" w:rsidP="00007E5E">
      <w:pPr>
        <w:pStyle w:val="2"/>
        <w:ind w:firstLine="709"/>
        <w:rPr>
          <w:b w:val="0"/>
          <w:color w:val="000000" w:themeColor="text1"/>
          <w:sz w:val="24"/>
          <w:szCs w:val="24"/>
        </w:rPr>
      </w:pPr>
      <w:bookmarkStart w:id="5" w:name="_Toc64038199"/>
      <w:bookmarkStart w:id="6" w:name="_Toc65767831"/>
      <w:bookmarkStart w:id="7" w:name="_Toc81574883"/>
    </w:p>
    <w:p w:rsidR="004A47F7" w:rsidRPr="007A68A2" w:rsidRDefault="004A47F7" w:rsidP="00AE79F5">
      <w:pPr>
        <w:pStyle w:val="2"/>
        <w:ind w:firstLine="709"/>
        <w:rPr>
          <w:b w:val="0"/>
          <w:color w:val="000000" w:themeColor="text1"/>
          <w:sz w:val="24"/>
          <w:szCs w:val="24"/>
        </w:rPr>
      </w:pPr>
      <w:r w:rsidRPr="007A68A2">
        <w:rPr>
          <w:b w:val="0"/>
          <w:color w:val="000000" w:themeColor="text1"/>
          <w:sz w:val="24"/>
          <w:szCs w:val="24"/>
        </w:rPr>
        <w:t>Образование</w:t>
      </w:r>
      <w:bookmarkEnd w:id="5"/>
      <w:bookmarkEnd w:id="6"/>
      <w:bookmarkEnd w:id="7"/>
      <w:r w:rsidR="002F573E" w:rsidRPr="007A68A2">
        <w:rPr>
          <w:b w:val="0"/>
          <w:color w:val="000000" w:themeColor="text1"/>
          <w:sz w:val="24"/>
          <w:szCs w:val="24"/>
        </w:rPr>
        <w:t>.</w:t>
      </w:r>
    </w:p>
    <w:p w:rsidR="004A47F7" w:rsidRPr="007A68A2" w:rsidRDefault="004A47F7" w:rsidP="00AE79F5">
      <w:pPr>
        <w:keepNext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222304986"/>
      <w:bookmarkStart w:id="9" w:name="_Toc262627983"/>
      <w:bookmarkStart w:id="10" w:name="_Toc284593029"/>
    </w:p>
    <w:p w:rsidR="00211584" w:rsidRPr="007A68A2" w:rsidRDefault="004134AF" w:rsidP="002115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64038200"/>
      <w:bookmarkStart w:id="12" w:name="_Toc65767832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По состоянию на 01.</w:t>
      </w:r>
      <w:r w:rsidR="003346A4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F12B56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1584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городская образовательная сеть </w:t>
      </w:r>
      <w:r w:rsidR="004C113A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включает: 9 муниципальных общеобразовательных учреждений, в том числе гимназию, лицей, школу с углубленным изучением англий</w:t>
      </w:r>
      <w:r w:rsidR="003346A4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ского языка, 12</w:t>
      </w:r>
      <w:r w:rsidR="004C113A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дошкольных образовательных учреждений, в том числе 3 центра развития ребенка, 4 учреждения дополнительного образования</w:t>
      </w:r>
      <w:r w:rsidR="00211584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11584" w:rsidRPr="007A68A2" w:rsidRDefault="003346A4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первом полугодии </w:t>
      </w:r>
      <w:r w:rsidR="004134AF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F12B56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134AF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r w:rsidR="00211584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9 муниципальных общеобразовательных учреждениях обучалось 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6926</w:t>
      </w:r>
      <w:r w:rsidR="00532F3A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1584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человек. </w:t>
      </w:r>
    </w:p>
    <w:p w:rsidR="00211584" w:rsidRPr="007A68A2" w:rsidRDefault="003346A4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На 01.07</w:t>
      </w:r>
      <w:r w:rsidR="00F12B56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.2026</w:t>
      </w:r>
      <w:r w:rsidR="00211584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в муниципальных образовательных организациях города работали 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836</w:t>
      </w:r>
      <w:r w:rsidR="00211584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педагогических работников, в том числе в МБОУ - 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учреждениях 411</w:t>
      </w:r>
      <w:r w:rsidR="004877AE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(из них учителей – 354</w:t>
      </w:r>
      <w:r w:rsidR="00532F3A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1584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чел.), МБДОУ - </w:t>
      </w:r>
      <w:r w:rsidR="004877AE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338</w:t>
      </w:r>
      <w:r w:rsidR="00532F3A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(воспитате</w:t>
      </w:r>
      <w:r w:rsidR="004877AE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лей – 228 чел.), МБОУ ДО - 87</w:t>
      </w:r>
      <w:r w:rsidR="00211584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чел.</w:t>
      </w:r>
    </w:p>
    <w:p w:rsidR="004A47F7" w:rsidRPr="007A68A2" w:rsidRDefault="004A47F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Система образования Сосновоборского городского округа функционирует в режиме развития в соответствии с направлениями, определенными муниципальной программой «Современное образование в Сосновоборском городском округе». </w:t>
      </w:r>
    </w:p>
    <w:p w:rsidR="00C225F8" w:rsidRPr="007A68A2" w:rsidRDefault="00C225F8" w:rsidP="00C225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222304989"/>
      <w:bookmarkStart w:id="14" w:name="_Toc262627985"/>
      <w:bookmarkStart w:id="15" w:name="_Toc284593031"/>
      <w:bookmarkEnd w:id="8"/>
      <w:bookmarkEnd w:id="9"/>
      <w:bookmarkEnd w:id="10"/>
      <w:bookmarkEnd w:id="11"/>
      <w:bookmarkEnd w:id="12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Система социального обслуживания населения Сосновоборского городского округа представлена:</w:t>
      </w:r>
    </w:p>
    <w:p w:rsidR="00C225F8" w:rsidRPr="007A68A2" w:rsidRDefault="00C225F8" w:rsidP="00C225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- ЛОГКУ «Центр социальной защиты населения» (ЛОГКУ «ЦСЗН») филиал в Сосновоборском городском округе;</w:t>
      </w:r>
    </w:p>
    <w:p w:rsidR="00C225F8" w:rsidRPr="007A68A2" w:rsidRDefault="00C225F8" w:rsidP="00C225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ЛОГАУ «Сосновоборский многопрофильный реабилитационный центр» (ЛОГАУ «Сосновоборский МРЦ»). </w:t>
      </w:r>
    </w:p>
    <w:p w:rsidR="00C225F8" w:rsidRPr="007A68A2" w:rsidRDefault="00C11A8C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</w:rPr>
        <w:t xml:space="preserve">- </w:t>
      </w:r>
      <w:r w:rsidR="00C225F8" w:rsidRPr="007A68A2">
        <w:rPr>
          <w:rFonts w:ascii="Times New Roman" w:hAnsi="Times New Roman" w:cs="Times New Roman"/>
          <w:color w:val="000000" w:themeColor="text1"/>
          <w:sz w:val="24"/>
        </w:rPr>
        <w:t xml:space="preserve">ЛОГАУ «Сосновоборский МРЦ» предоставляет услуги населению в соответствии с нормами Федерального закона от 28 декабря 2013 года № 442-ФЗ "Об основах социального обслуживания граждан в Российской Федерации" (с изм. и доп.) и областного закона от 17.11.2017 N 72-оз "Социальный кодекс Ленинградской области» (с изм.) в следующих формах: социальное обслуживание на дому, полустационарная форма, стационарная форма с временным проживанием, а также срочные социальные услуги. </w:t>
      </w:r>
    </w:p>
    <w:p w:rsidR="00C225F8" w:rsidRPr="007A68A2" w:rsidRDefault="00C225F8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</w:rPr>
        <w:t>В целях расширения масштаба оказания помощи детям в трудной жизненной ситуации в Ленинградской области круглосуточно работает детский телефон доверия на базе ЛОГАУ «Сосновоборский МРЦ», подключенный к единому общероссийскому номеру те</w:t>
      </w:r>
      <w:r w:rsidR="00830271" w:rsidRPr="007A68A2">
        <w:rPr>
          <w:rFonts w:ascii="Times New Roman" w:hAnsi="Times New Roman" w:cs="Times New Roman"/>
          <w:color w:val="000000" w:themeColor="text1"/>
          <w:sz w:val="24"/>
        </w:rPr>
        <w:t>лефона доверия - 8-800-2000-122.</w:t>
      </w:r>
    </w:p>
    <w:p w:rsidR="004A47F7" w:rsidRPr="007A68A2" w:rsidRDefault="00C11A8C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A47F7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ЛОГАУ «Сосновоборский КЦСОН» предоставляет услуги населению в соответствии с нормами Федерального закона от 28 декабря 2013 года № 442-ФЗ "Об основах социального обслуживания граждан в Российской Федерации" (с изм. и доп.) и областного закона от 17.11.2017 N 72-оз "Социальный кодекс Ленинградской области» (с изм.) в следующих формах: социальное обслуживание на дому, полустационарная форма, стационарная форма с временным проживанием, а также срочные социальные услуги. </w:t>
      </w:r>
    </w:p>
    <w:p w:rsidR="00C225F8" w:rsidRPr="007A68A2" w:rsidRDefault="00C225F8" w:rsidP="002C06A9">
      <w:pPr>
        <w:pStyle w:val="a8"/>
        <w:ind w:firstLine="709"/>
        <w:jc w:val="center"/>
        <w:rPr>
          <w:color w:val="000000" w:themeColor="text1"/>
        </w:rPr>
      </w:pPr>
      <w:r w:rsidRPr="007A68A2">
        <w:rPr>
          <w:color w:val="000000" w:themeColor="text1"/>
        </w:rPr>
        <w:t>Сеть учреждений и организаций здравоохранения.</w:t>
      </w:r>
    </w:p>
    <w:p w:rsidR="00101321" w:rsidRPr="007A68A2" w:rsidRDefault="00C225F8" w:rsidP="00101321">
      <w:pPr>
        <w:pStyle w:val="a8"/>
        <w:ind w:firstLine="709"/>
        <w:rPr>
          <w:color w:val="000000" w:themeColor="text1"/>
        </w:rPr>
      </w:pPr>
      <w:r w:rsidRPr="007A68A2">
        <w:rPr>
          <w:color w:val="000000" w:themeColor="text1"/>
        </w:rPr>
        <w:t>В системе здравоохранения города сохраняется существующая структура, охватывающая все необходимые направления деятельности - лечебно-профилактическую, фармакологическую, санитарно-противоэпидемиологическую, а именно: лечебно-профилактическое учреждение  Федеральное государственное бюджетное учреждение здравоохранения  «Центральная медико-санитарная часть № 38 Федерального  ме</w:t>
      </w:r>
      <w:r w:rsidR="002C06A9" w:rsidRPr="007A68A2">
        <w:rPr>
          <w:color w:val="000000" w:themeColor="text1"/>
        </w:rPr>
        <w:t xml:space="preserve">дико-биологического агентства» </w:t>
      </w:r>
      <w:r w:rsidRPr="007A68A2">
        <w:rPr>
          <w:color w:val="000000" w:themeColor="text1"/>
        </w:rPr>
        <w:t xml:space="preserve">(далее - ФГБУЗ ЦМСЧ № 38 ФМБА России или ЦМСЧ </w:t>
      </w:r>
      <w:r w:rsidR="002C06A9" w:rsidRPr="007A68A2">
        <w:rPr>
          <w:color w:val="000000" w:themeColor="text1"/>
        </w:rPr>
        <w:t xml:space="preserve">№ 38), санаторий-профилакторий </w:t>
      </w:r>
      <w:r w:rsidRPr="007A68A2">
        <w:rPr>
          <w:color w:val="000000" w:themeColor="text1"/>
        </w:rPr>
        <w:t>«</w:t>
      </w:r>
      <w:proofErr w:type="spellStart"/>
      <w:r w:rsidRPr="007A68A2">
        <w:rPr>
          <w:color w:val="000000" w:themeColor="text1"/>
        </w:rPr>
        <w:t>Копанское</w:t>
      </w:r>
      <w:proofErr w:type="spellEnd"/>
      <w:r w:rsidRPr="007A68A2">
        <w:rPr>
          <w:color w:val="000000" w:themeColor="text1"/>
        </w:rPr>
        <w:t xml:space="preserve">» филиала концерна «Росэнергоатом» «ЛАС»; 12 здравпунктов на предприятиях; </w:t>
      </w:r>
      <w:r w:rsidR="00101321" w:rsidRPr="007A68A2">
        <w:rPr>
          <w:color w:val="000000" w:themeColor="text1"/>
        </w:rPr>
        <w:t>17  аптек  и 20 аптечных   пунктов; 14 частнопрактикующих медицинских учреждений (стоматологические: «</w:t>
      </w:r>
      <w:proofErr w:type="spellStart"/>
      <w:r w:rsidR="00101321" w:rsidRPr="007A68A2">
        <w:rPr>
          <w:color w:val="000000" w:themeColor="text1"/>
        </w:rPr>
        <w:t>Элефант</w:t>
      </w:r>
      <w:proofErr w:type="spellEnd"/>
      <w:r w:rsidR="00101321" w:rsidRPr="007A68A2">
        <w:rPr>
          <w:color w:val="000000" w:themeColor="text1"/>
        </w:rPr>
        <w:t>», «КЭС «</w:t>
      </w:r>
      <w:proofErr w:type="spellStart"/>
      <w:r w:rsidR="00101321" w:rsidRPr="007A68A2">
        <w:rPr>
          <w:color w:val="000000" w:themeColor="text1"/>
        </w:rPr>
        <w:t>СБорДент</w:t>
      </w:r>
      <w:proofErr w:type="spellEnd"/>
      <w:r w:rsidR="00101321" w:rsidRPr="007A68A2">
        <w:rPr>
          <w:color w:val="000000" w:themeColor="text1"/>
        </w:rPr>
        <w:t>», «Сонет», «</w:t>
      </w:r>
      <w:proofErr w:type="spellStart"/>
      <w:r w:rsidR="00101321" w:rsidRPr="007A68A2">
        <w:rPr>
          <w:color w:val="000000" w:themeColor="text1"/>
        </w:rPr>
        <w:t>АСДдент</w:t>
      </w:r>
      <w:proofErr w:type="spellEnd"/>
      <w:r w:rsidR="00101321" w:rsidRPr="007A68A2">
        <w:rPr>
          <w:color w:val="000000" w:themeColor="text1"/>
        </w:rPr>
        <w:t>», медицинские центры: «Здоровье», «</w:t>
      </w:r>
      <w:proofErr w:type="spellStart"/>
      <w:r w:rsidR="00101321" w:rsidRPr="007A68A2">
        <w:rPr>
          <w:color w:val="000000" w:themeColor="text1"/>
        </w:rPr>
        <w:t>Медлайн</w:t>
      </w:r>
      <w:proofErr w:type="spellEnd"/>
      <w:r w:rsidR="00101321" w:rsidRPr="007A68A2">
        <w:rPr>
          <w:color w:val="000000" w:themeColor="text1"/>
        </w:rPr>
        <w:t xml:space="preserve">» ООО «Положительный фактор», «Панацея», «Меридиан» («Дантист»), «Центр медицинских анализов», «Центр семейной медицины «ТИТАНМЕД», Центр </w:t>
      </w:r>
      <w:proofErr w:type="spellStart"/>
      <w:r w:rsidR="00101321" w:rsidRPr="007A68A2">
        <w:rPr>
          <w:color w:val="000000" w:themeColor="text1"/>
        </w:rPr>
        <w:t>нейротерапии</w:t>
      </w:r>
      <w:proofErr w:type="spellEnd"/>
      <w:r w:rsidR="00101321" w:rsidRPr="007A68A2">
        <w:rPr>
          <w:color w:val="000000" w:themeColor="text1"/>
        </w:rPr>
        <w:t xml:space="preserve"> «</w:t>
      </w:r>
      <w:proofErr w:type="spellStart"/>
      <w:r w:rsidR="00101321" w:rsidRPr="007A68A2">
        <w:rPr>
          <w:color w:val="000000" w:themeColor="text1"/>
        </w:rPr>
        <w:t>МедиКО</w:t>
      </w:r>
      <w:proofErr w:type="spellEnd"/>
      <w:r w:rsidR="00101321" w:rsidRPr="007A68A2">
        <w:rPr>
          <w:color w:val="000000" w:themeColor="text1"/>
        </w:rPr>
        <w:t>», «Новый взгляд», «Очкарик+», «</w:t>
      </w:r>
      <w:proofErr w:type="spellStart"/>
      <w:r w:rsidR="00101321" w:rsidRPr="007A68A2">
        <w:rPr>
          <w:color w:val="000000" w:themeColor="text1"/>
        </w:rPr>
        <w:t>УЗИст</w:t>
      </w:r>
      <w:proofErr w:type="spellEnd"/>
      <w:r w:rsidR="00101321" w:rsidRPr="007A68A2">
        <w:rPr>
          <w:color w:val="000000" w:themeColor="text1"/>
        </w:rPr>
        <w:t xml:space="preserve">»). На территории Сосновоборского городского округа </w:t>
      </w:r>
      <w:r w:rsidR="00101321" w:rsidRPr="007A68A2">
        <w:rPr>
          <w:color w:val="000000" w:themeColor="text1"/>
        </w:rPr>
        <w:lastRenderedPageBreak/>
        <w:t>имеют представительства страховые медицинские организаций АО «СК «СОГАЗ-Мед», ООО «Капитал - МС», работающие в система обязательного медицинского страхования (ОМС).</w:t>
      </w:r>
    </w:p>
    <w:p w:rsidR="00F64FBC" w:rsidRPr="007A68A2" w:rsidRDefault="00F64FBC" w:rsidP="00101321">
      <w:pPr>
        <w:pStyle w:val="a8"/>
        <w:ind w:firstLine="709"/>
        <w:rPr>
          <w:color w:val="000000" w:themeColor="text1"/>
        </w:rPr>
      </w:pPr>
      <w:r w:rsidRPr="007A68A2">
        <w:rPr>
          <w:color w:val="000000" w:themeColor="text1"/>
        </w:rPr>
        <w:t xml:space="preserve">Контроль за санитарно-эпидемиологическим состоянием города осуществляют: Территориальный отдел Межрегионального управления № 122 ФМБА России по </w:t>
      </w:r>
      <w:proofErr w:type="spellStart"/>
      <w:r w:rsidRPr="007A68A2">
        <w:rPr>
          <w:color w:val="000000" w:themeColor="text1"/>
        </w:rPr>
        <w:t>г.Сосновый</w:t>
      </w:r>
      <w:proofErr w:type="spellEnd"/>
      <w:r w:rsidRPr="007A68A2">
        <w:rPr>
          <w:color w:val="000000" w:themeColor="text1"/>
        </w:rPr>
        <w:t xml:space="preserve"> Бор Ленинградской области, Федеральное государственное бюджетное учреждение здравоохранения Центр гигиены и эп</w:t>
      </w:r>
      <w:r w:rsidR="002C06A9" w:rsidRPr="007A68A2">
        <w:rPr>
          <w:color w:val="000000" w:themeColor="text1"/>
        </w:rPr>
        <w:t>идемиологии № 38 ФМБА России.</w:t>
      </w:r>
    </w:p>
    <w:p w:rsidR="00F64FBC" w:rsidRPr="007A68A2" w:rsidRDefault="00FF7ABF" w:rsidP="00F64FBC">
      <w:pPr>
        <w:tabs>
          <w:tab w:val="left" w:pos="88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222304990"/>
      <w:bookmarkStart w:id="17" w:name="_Toc262627986"/>
      <w:bookmarkStart w:id="18" w:name="_Toc284593032"/>
      <w:bookmarkEnd w:id="13"/>
      <w:bookmarkEnd w:id="14"/>
      <w:bookmarkEnd w:id="15"/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Федеральным законом от 18.10.2007 г. № 230-ФЗ «О внесении изменений в отдельные законодательные акты Российской Федерации в связи с совершенствованием разграничения полномочий» и распоряжением Правительства РФ № 1156-р от 21.08.2006 «Об утверждении перечня организаций и перечня территорий, подлежащих обслуживанию ФМБА России» медицинскую помощь работникам прикрепленных организаций и всему населению Сосновоборского городского округа оказывает ФГБУЗ ЦМСЧ № 38 ФМБА России, финансируемое за счет средств федерального бюджета и Фонда обязательного медицинского страхования. ФГБУЗ ЦМСЧ № 38 ФМБА России является многопрофильным лечебно-профилактическим учреждением, имеет право осуществлять экспертную, фармацевтическую деятельность и деятельность, связанную с оборотом наркотических средств и психотропных веществ</w:t>
      </w:r>
      <w:r w:rsidR="00F64FBC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47F8D" w:rsidRPr="007A68A2" w:rsidRDefault="00F47F8D" w:rsidP="00F64FBC">
      <w:pPr>
        <w:tabs>
          <w:tab w:val="left" w:pos="88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В состав ЦМСЧ № 38 входят две поликлиники – городская (взрослая) и детская</w:t>
      </w:r>
      <w:r w:rsidR="00FF7ABF" w:rsidRPr="007A68A2">
        <w:rPr>
          <w:color w:val="000000" w:themeColor="text1"/>
        </w:rPr>
        <w:t xml:space="preserve"> </w:t>
      </w:r>
      <w:r w:rsidR="00FF7ABF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на 1092 посещения в смену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стационар на 302 круглосуточных койки, отделение дневного пребывания на 30 коек. </w:t>
      </w:r>
    </w:p>
    <w:p w:rsidR="0014577C" w:rsidRPr="007A68A2" w:rsidRDefault="004A47F7" w:rsidP="0014577C">
      <w:pPr>
        <w:tabs>
          <w:tab w:val="left" w:pos="8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Сеть учреждений сферы культуры, уровень обеспече</w:t>
      </w:r>
      <w:r w:rsidR="0014577C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нности отрасли сетью учреждений.</w:t>
      </w:r>
    </w:p>
    <w:p w:rsidR="00F47F8D" w:rsidRPr="007A68A2" w:rsidRDefault="00F47F8D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19" w:name="_Toc64038203"/>
      <w:bookmarkStart w:id="20" w:name="_Toc222304993"/>
      <w:bookmarkStart w:id="21" w:name="_Toc284574147"/>
      <w:bookmarkStart w:id="22" w:name="_Toc331521122"/>
      <w:bookmarkEnd w:id="16"/>
      <w:bookmarkEnd w:id="17"/>
      <w:bookmarkEnd w:id="18"/>
      <w:r w:rsidRPr="007A68A2">
        <w:rPr>
          <w:rFonts w:ascii="Times New Roman" w:hAnsi="Times New Roman" w:cs="Times New Roman"/>
          <w:color w:val="000000" w:themeColor="text1"/>
          <w:sz w:val="24"/>
        </w:rPr>
        <w:t xml:space="preserve">Сеть муниципальных учреждений культуры представлена в количестве 10 учреждений, что соответствует уровню прошлого года, в которых работает 5 работников культуры со званием «Заслуженный работник культуры Российской Федерации», 17 творческих коллектива имеет звание «Народный» и «Образцовый». </w:t>
      </w:r>
    </w:p>
    <w:p w:rsidR="00F64FBC" w:rsidRPr="007A68A2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настоящее время на территории Сосновоборского городского округа (далее по тексту – округа) функционирует </w:t>
      </w:r>
      <w:r w:rsidR="00F47F8D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199 с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портивных сооружений с учетом объектов городской и рекреационной инфраструктуры, приспособленных для занятий физической культурой и спортом (далее по тексту – объекты) с единовременной пропускной способнос</w:t>
      </w:r>
      <w:r w:rsidR="002C06A9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тью 4525 человека.</w:t>
      </w:r>
    </w:p>
    <w:p w:rsidR="00F64FBC" w:rsidRPr="007A68A2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В объекты входят:</w:t>
      </w:r>
    </w:p>
    <w:p w:rsidR="00F64FBC" w:rsidRPr="007A68A2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- 4 спортивных комплекса -</w:t>
      </w:r>
      <w:r w:rsidR="002C06A9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общей площадью: 36898,4 кв. м;</w:t>
      </w:r>
    </w:p>
    <w:p w:rsidR="00F64FBC" w:rsidRPr="007A68A2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- 1 спортивно-тренировочный центр - общей площадью: 1431 кв. м;</w:t>
      </w:r>
    </w:p>
    <w:p w:rsidR="00F64FBC" w:rsidRPr="007A68A2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- 5 плавательных бассейнов с площадью зеркала воды: 579 кв. м;</w:t>
      </w:r>
    </w:p>
    <w:p w:rsidR="00F64FBC" w:rsidRPr="007A68A2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- 1 лыжная база - общей площадью: 237 кв. м;</w:t>
      </w:r>
    </w:p>
    <w:p w:rsidR="00F64FBC" w:rsidRPr="007A68A2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- 2 сооружения для стрелковых видов спорта - общей площадью: 975.5 кв. м;</w:t>
      </w:r>
    </w:p>
    <w:p w:rsidR="00F64FBC" w:rsidRPr="007A68A2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- 73 спортивных зала - общей площадью: 16 438 кв. м.</w:t>
      </w:r>
    </w:p>
    <w:p w:rsidR="00F47F8D" w:rsidRPr="007A68A2" w:rsidRDefault="00F47F8D" w:rsidP="00F47F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Реализацией мероприятий по развитию на территории округа массовой физической культуры и спорта занимаются два учреждения подведомственные Комитету образования Сосновоборского городского округа:</w:t>
      </w:r>
    </w:p>
    <w:bookmarkEnd w:id="19"/>
    <w:bookmarkEnd w:id="20"/>
    <w:bookmarkEnd w:id="21"/>
    <w:bookmarkEnd w:id="22"/>
    <w:p w:rsidR="00F47F8D" w:rsidRPr="007A68A2" w:rsidRDefault="00F47F8D" w:rsidP="00F47F8D">
      <w:pPr>
        <w:pStyle w:val="21"/>
        <w:ind w:firstLine="709"/>
        <w:rPr>
          <w:rFonts w:eastAsiaTheme="minorHAnsi"/>
          <w:color w:val="000000" w:themeColor="text1"/>
        </w:rPr>
      </w:pPr>
      <w:r w:rsidRPr="007A68A2">
        <w:rPr>
          <w:rFonts w:eastAsiaTheme="minorHAnsi"/>
          <w:color w:val="000000" w:themeColor="text1"/>
        </w:rPr>
        <w:t>- муниципальное бюджетное образовательное учреждение дополнительного образования «Детско-юношеская спортивная школа» (директор В.П. Давыдова);</w:t>
      </w:r>
    </w:p>
    <w:p w:rsidR="00F47F8D" w:rsidRPr="007A68A2" w:rsidRDefault="00F47F8D" w:rsidP="00F47F8D">
      <w:pPr>
        <w:pStyle w:val="21"/>
        <w:ind w:firstLine="709"/>
        <w:rPr>
          <w:rFonts w:eastAsiaTheme="minorHAnsi"/>
          <w:color w:val="000000" w:themeColor="text1"/>
        </w:rPr>
      </w:pPr>
      <w:r w:rsidRPr="007A68A2">
        <w:rPr>
          <w:rFonts w:eastAsiaTheme="minorHAnsi"/>
          <w:color w:val="000000" w:themeColor="text1"/>
        </w:rPr>
        <w:t>- муниципальное бюджетное образовательное учреждение дополнительного образования «Дом детского туризма и экскурсий «</w:t>
      </w:r>
      <w:proofErr w:type="spellStart"/>
      <w:r w:rsidRPr="007A68A2">
        <w:rPr>
          <w:rFonts w:eastAsiaTheme="minorHAnsi"/>
          <w:color w:val="000000" w:themeColor="text1"/>
        </w:rPr>
        <w:t>Ювента</w:t>
      </w:r>
      <w:proofErr w:type="spellEnd"/>
      <w:r w:rsidRPr="007A68A2">
        <w:rPr>
          <w:rFonts w:eastAsiaTheme="minorHAnsi"/>
          <w:color w:val="000000" w:themeColor="text1"/>
        </w:rPr>
        <w:t xml:space="preserve">» (директор А.П. </w:t>
      </w:r>
      <w:proofErr w:type="spellStart"/>
      <w:r w:rsidRPr="007A68A2">
        <w:rPr>
          <w:rFonts w:eastAsiaTheme="minorHAnsi"/>
          <w:color w:val="000000" w:themeColor="text1"/>
        </w:rPr>
        <w:t>Маханьков</w:t>
      </w:r>
      <w:proofErr w:type="spellEnd"/>
      <w:r w:rsidRPr="007A68A2">
        <w:rPr>
          <w:rFonts w:eastAsiaTheme="minorHAnsi"/>
          <w:color w:val="000000" w:themeColor="text1"/>
        </w:rPr>
        <w:t>).</w:t>
      </w:r>
    </w:p>
    <w:p w:rsidR="00550850" w:rsidRPr="007A68A2" w:rsidRDefault="00F47F8D" w:rsidP="00F47F8D">
      <w:pPr>
        <w:pStyle w:val="21"/>
        <w:ind w:firstLine="709"/>
        <w:rPr>
          <w:rFonts w:eastAsiaTheme="minorHAnsi"/>
          <w:color w:val="000000" w:themeColor="text1"/>
        </w:rPr>
      </w:pPr>
      <w:r w:rsidRPr="007A68A2">
        <w:rPr>
          <w:rFonts w:eastAsiaTheme="minorHAnsi"/>
          <w:color w:val="000000" w:themeColor="text1"/>
        </w:rPr>
        <w:t>На территории округа развивается более 50 видов спорта. Численность занимающихся, физической культурой и спортом составляет: 37963 человек</w:t>
      </w:r>
      <w:r w:rsidR="002C06A9" w:rsidRPr="007A68A2">
        <w:rPr>
          <w:rFonts w:eastAsiaTheme="minorHAnsi"/>
          <w:color w:val="000000" w:themeColor="text1"/>
        </w:rPr>
        <w:t>.</w:t>
      </w:r>
    </w:p>
    <w:p w:rsidR="004A47F7" w:rsidRPr="007A68A2" w:rsidRDefault="004A47F7" w:rsidP="0014577C">
      <w:pPr>
        <w:pStyle w:val="21"/>
        <w:ind w:firstLine="709"/>
        <w:jc w:val="center"/>
        <w:rPr>
          <w:color w:val="000000" w:themeColor="text1"/>
        </w:rPr>
      </w:pPr>
      <w:r w:rsidRPr="007A68A2">
        <w:rPr>
          <w:color w:val="000000" w:themeColor="text1"/>
        </w:rPr>
        <w:t>Сеть учреждений в сфере молодёжной политики.</w:t>
      </w:r>
    </w:p>
    <w:p w:rsidR="004A47F7" w:rsidRPr="007A68A2" w:rsidRDefault="004A47F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В работе с молодыми жителями Сосновоборского городского округа использ</w:t>
      </w:r>
      <w:r w:rsidR="00155E63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овался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комплексный подход в реализации государственной молодёжной политики.</w:t>
      </w:r>
    </w:p>
    <w:p w:rsidR="004A47F7" w:rsidRPr="007A68A2" w:rsidRDefault="004A47F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В целях осуществления деятельности, направленной на создание эффективной системы реализации молодёжной политики, подготовку и проведение молодёжных и спортивно-массовых мероприятий продолжает функционировать муниципальное автономное учреждение «Молодёжный Центр «Диалог».</w:t>
      </w:r>
    </w:p>
    <w:p w:rsidR="00822970" w:rsidRPr="007A68A2" w:rsidRDefault="00822970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В рамках оказания содействия молодёжи в вопросах временного трудоустройства отделом по молодёжной политике администрации Сосновоборского городского округа совместно со </w:t>
      </w:r>
      <w:proofErr w:type="spellStart"/>
      <w:r w:rsidRPr="007A68A2">
        <w:rPr>
          <w:rFonts w:ascii="Times New Roman" w:hAnsi="Times New Roman" w:cs="Times New Roman"/>
          <w:color w:val="000000" w:themeColor="text1"/>
          <w:sz w:val="24"/>
        </w:rPr>
        <w:t>Сосновоборским</w:t>
      </w:r>
      <w:proofErr w:type="spellEnd"/>
      <w:r w:rsidRPr="007A68A2">
        <w:rPr>
          <w:rFonts w:ascii="Times New Roman" w:hAnsi="Times New Roman" w:cs="Times New Roman"/>
          <w:color w:val="000000" w:themeColor="text1"/>
          <w:sz w:val="24"/>
        </w:rPr>
        <w:t xml:space="preserve"> филиалом ГКУ «ЦЗН Ленинградской области»</w:t>
      </w:r>
      <w:r w:rsidR="00DB30C1" w:rsidRPr="007A68A2">
        <w:rPr>
          <w:rFonts w:ascii="Times New Roman" w:hAnsi="Times New Roman" w:cs="Times New Roman"/>
          <w:color w:val="000000" w:themeColor="text1"/>
          <w:sz w:val="24"/>
        </w:rPr>
        <w:t>.</w:t>
      </w:r>
      <w:r w:rsidR="00C34CC6" w:rsidRPr="007A68A2">
        <w:rPr>
          <w:rFonts w:ascii="Times New Roman" w:hAnsi="Times New Roman" w:cs="Times New Roman"/>
          <w:color w:val="000000" w:themeColor="text1"/>
          <w:sz w:val="24"/>
        </w:rPr>
        <w:t xml:space="preserve"> В</w:t>
      </w:r>
      <w:r w:rsidRPr="007A68A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95EF6" w:rsidRPr="007A68A2">
        <w:rPr>
          <w:rFonts w:ascii="Times New Roman" w:hAnsi="Times New Roman" w:cs="Times New Roman"/>
          <w:color w:val="000000" w:themeColor="text1"/>
          <w:sz w:val="24"/>
        </w:rPr>
        <w:t>первом</w:t>
      </w:r>
      <w:r w:rsidR="00EF3705" w:rsidRPr="007A68A2">
        <w:rPr>
          <w:rFonts w:ascii="Times New Roman" w:hAnsi="Times New Roman" w:cs="Times New Roman"/>
          <w:color w:val="000000" w:themeColor="text1"/>
          <w:sz w:val="24"/>
        </w:rPr>
        <w:t xml:space="preserve"> полугодии</w:t>
      </w:r>
      <w:r w:rsidR="00A35591" w:rsidRPr="007A68A2">
        <w:rPr>
          <w:rFonts w:ascii="Times New Roman" w:hAnsi="Times New Roman" w:cs="Times New Roman"/>
          <w:color w:val="000000" w:themeColor="text1"/>
          <w:sz w:val="24"/>
        </w:rPr>
        <w:t xml:space="preserve"> 202</w:t>
      </w:r>
      <w:r w:rsidR="0049591D" w:rsidRPr="007A68A2">
        <w:rPr>
          <w:rFonts w:ascii="Times New Roman" w:hAnsi="Times New Roman" w:cs="Times New Roman"/>
          <w:color w:val="000000" w:themeColor="text1"/>
          <w:sz w:val="24"/>
        </w:rPr>
        <w:t>6</w:t>
      </w:r>
      <w:r w:rsidR="00A35591" w:rsidRPr="007A68A2">
        <w:rPr>
          <w:rFonts w:ascii="Times New Roman" w:hAnsi="Times New Roman" w:cs="Times New Roman"/>
          <w:color w:val="000000" w:themeColor="text1"/>
          <w:sz w:val="24"/>
        </w:rPr>
        <w:t xml:space="preserve"> года</w:t>
      </w:r>
      <w:r w:rsidRPr="007A68A2">
        <w:rPr>
          <w:rFonts w:ascii="Times New Roman" w:hAnsi="Times New Roman" w:cs="Times New Roman"/>
          <w:color w:val="000000" w:themeColor="text1"/>
          <w:sz w:val="24"/>
        </w:rPr>
        <w:t xml:space="preserve"> было</w:t>
      </w:r>
      <w:r w:rsidR="00EF3705" w:rsidRPr="007A68A2">
        <w:rPr>
          <w:rFonts w:ascii="Times New Roman" w:hAnsi="Times New Roman" w:cs="Times New Roman"/>
          <w:color w:val="000000" w:themeColor="text1"/>
          <w:sz w:val="24"/>
        </w:rPr>
        <w:t xml:space="preserve"> временно</w:t>
      </w:r>
      <w:r w:rsidRPr="007A68A2">
        <w:rPr>
          <w:rFonts w:ascii="Times New Roman" w:hAnsi="Times New Roman" w:cs="Times New Roman"/>
          <w:color w:val="000000" w:themeColor="text1"/>
          <w:sz w:val="24"/>
        </w:rPr>
        <w:t xml:space="preserve"> трудоустроено </w:t>
      </w:r>
      <w:r w:rsidR="00EF3705" w:rsidRPr="007A68A2">
        <w:rPr>
          <w:rFonts w:ascii="Times New Roman" w:hAnsi="Times New Roman" w:cs="Times New Roman"/>
          <w:color w:val="000000" w:themeColor="text1"/>
          <w:sz w:val="24"/>
        </w:rPr>
        <w:t>406 несовершеннолетних граждан в возрасте от 14 до 18 лет.</w:t>
      </w:r>
    </w:p>
    <w:p w:rsidR="00EF3705" w:rsidRPr="007A68A2" w:rsidRDefault="00EF3705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</w:rPr>
        <w:t>Рабочие места для временного трудоустройства несовершеннолетних граждан в возрасте от 14 до 18 лет были организованы на базе 13 муниципальных учреждений Сосновоборского городского округа, среди которых: образовательные организации, учреждения культуры, спорта и молодежной политики.</w:t>
      </w:r>
    </w:p>
    <w:p w:rsidR="004A47F7" w:rsidRPr="007A68A2" w:rsidRDefault="00B0686C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D0A69" w:rsidRPr="007A68A2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6226" w:rsidRPr="007A68A2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О р</w:t>
      </w:r>
      <w:r w:rsidR="00A96E25" w:rsidRPr="007A68A2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езультат</w:t>
      </w:r>
      <w:r w:rsidR="00046226" w:rsidRPr="007A68A2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ах</w:t>
      </w:r>
      <w:r w:rsidR="00A96E25" w:rsidRPr="007A68A2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мониторинга состояния и развития конкурентной среды на территории муниципального образования Сосновоборского городского округа Ленинградской области</w:t>
      </w:r>
      <w:r w:rsidR="00BF0BB7" w:rsidRPr="007A68A2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6E25" w:rsidRPr="007A68A2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EF3705" w:rsidRPr="007A68A2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первое полугодие</w:t>
      </w:r>
      <w:r w:rsidR="00195EF6" w:rsidRPr="007A68A2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6E25" w:rsidRPr="007A68A2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49591D" w:rsidRPr="007A68A2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96E25" w:rsidRPr="007A68A2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195EF6" w:rsidRPr="007A68A2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F573E" w:rsidRPr="007A68A2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35C7" w:rsidRPr="007A68A2" w:rsidRDefault="00CF35C7" w:rsidP="00AE79F5">
      <w:pPr>
        <w:pStyle w:val="aa"/>
        <w:ind w:firstLine="709"/>
        <w:jc w:val="both"/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Отделом экономического развития проведен опрос субъектов предпринимательской деятельности и потребителей (далее - респондентов) по разработанным анкетам для дальнейшего использования в разработке мер по улучшению состояния и развития конкурентной среды на рынках товаров, работ и </w:t>
      </w:r>
      <w:r w:rsidR="00195EF6" w:rsidRPr="007A68A2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услуг,</w:t>
      </w:r>
      <w:r w:rsidRPr="007A68A2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и определения приоритетных направлений работы.</w:t>
      </w:r>
    </w:p>
    <w:p w:rsidR="00CF35C7" w:rsidRPr="007A68A2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Целью исследования является оценка условий для развития конкуренции между хозяйствующими субъектами в отраслях экономики, а также реализации результативности и эффективности мер по развитию конкуренции в интересах потребителей товаров, работ и услуг, в том числе субъектов предпринимательской деятельности, граждан и общества.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анкетировании приняли участие жители Сосновоборского городского округа, осуществляющие свою деятельность на территории округа. В ходе анализа анкет потребителей установлено следующее: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 Доля респондентов по социально-демографическим характеристикам: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жители Сосновоборского городского округа -100 %.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 Доля респондентов по гендерному признаку: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женщины – 71,0%.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мужчины – 29,0% 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 Доля респондентов по возрасту: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от 21 лет до 35 лет – 27 %;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от 36 лет до 50 лет – 32 %.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старше 51 года – 41 %.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4. Доля респондентов по социальному статусу: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работают – 100%.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 Доля респондентов по количеству детей: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нет детей – 23 %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- 1 ребенок – 42 %;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- 2 детей – 31 %;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- 3 и более детей – 4%.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 Доля респондентов по уровню образования: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высшее образование –  94 %;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научная степень – 6%;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7.Доля респондентов по удовлетворенности количеством организаций, представляющих следующие товары и услуги на рынках: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Рынок туристических услуг: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достаточно – 41 %;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мало – 16 %;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много -7%;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 – 36%.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Рынок строительных материалов: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достаточно – 68 %;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мало – 14 %;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 – 18 %.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Рынок первичного жилья экономического класса: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- достаточно – 17 %;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мало – 17 %;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много – 7%;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нет совсем – 7%;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 – 52 %.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Рынок архитектурно-строительного проектирования.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достаточно – 37 %;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мало – 23 %;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нет совсем – 2 %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 – 38 %.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Рынок оказания услуг по перевозке пассажиров автомобильным транспортом по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муниципальным маршрутам регулярных перевозок. 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достаточно – 57 %;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мало – 23 %;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нет совсем – 2 %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 – 18 %.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Рынок ритуальных услуг.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избыточно - 30 %;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достаточно – 64 %;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мало – 6 %.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Рынок кадастровых и землеустроительных работ. 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достаточно – 50 %;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мало – 17 %;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нет совсем – 2 %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 – 31 %.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Рынок легкой промышленности.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избыточно –  2 %;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достаточно – 48 %;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мало – 30 %;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нет совсем– 2 %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 - 18%.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Рынок обработки древесины и производства изделий из дерева.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достаточно –  29 %;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мало – 28 %;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нет совсем – 3 %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 – 40 %.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 Насколько вы удовлетворены характеристиками следующих товаров и услуг на рынках Сосновоборского городского округа.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удовлетворен -54 %;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скорее удовлетворен-29 %;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скорее не удовлетворен-3 %;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 удовлетворен-3 %;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ответить-11 %.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 Доля респондентов по оценке качества услуг субъектов естественных монополий: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Водоснабжение: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удовлетворительно – 33 %;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скорее удовлетворительно – 40 %;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скорее неудовлетворительно – 13 %;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 удовлетворен – 4 %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 – 10 %.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Газоснабжение: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удовлетворительно – 42 %;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скорее удовлетворительно – 23 %;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- скорее неудовлетворительно – 1 %;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 удовлетворен – 4 %.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 – 30 %.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Электроснабжение: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удовлетворительно – 41 %;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скорее удовлетворительно – 37 %;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скорее неудовлетворительно – 6 %;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 удовлетворен –3 %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 – 13 %.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Теплоснабжение: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удовлетворительно – 37 %;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скорее удовлетворительно – 29 %;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скорее неудовлетворительно – 17 %;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 удовлетворен – 7 %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 – 10 %.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Телефонная связь: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удовлетворительно – 46 %;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скорее удовлетворительно – 21 %;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скорее неудовлетворительно – 5 %;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 удовлетворен – 8 %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 – 20 %.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 Доля респондентов по оценке качества официальной информации о состоянии конкурентной среды на рынках товаров и услуг, размещаемой в открытом доступе: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Уровень доступности: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удовлетворительное – 45 %;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скорее удовлетворительное – 24 %;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скорее не удовлетворен – 7 %;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не удовлетворен – 2 %;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затрудняюсь ответить – 22 %.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Уровень понятности: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удовлетворительное – 35 %;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скорее удовлетворительное – 17 %;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скорее не удовлетворен – 8 %;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не удовлетворен – 1 %;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затрудняюсь ответить – 39 %.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Удобство получения: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удовлетворительное – 36 %;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скорее удовлетворительное – 17 %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затрудняюсь ответить – 12 %.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скорее не удовлетворен – 0 %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 удовлетворен – 35 %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11. Доля респондентов, по мнению изменения количества организаций, предоставляющих следующие товары и услуги на рынках в течение последних 3 лет: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1.Рынок выполнения работ по благоустройству городской среды: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снизилось – 0%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увеличилось – 45 %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 изменилось –20%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 – 35 %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2.Сфера наружной рекламы.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снизилось – 0 %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увеличилось – 24 %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 изменилось –48 %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 – 28 %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3.Рынок архитектурно-строительного проектирования: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снизилось – 0 %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увеличилось – 19 %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 изменилось – 47 %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 – 34 %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4.Рынок оказания услуг по перевозке пассажиров автомобильным транспортом по муниципальным маршрутам регулярных перевозок. 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снизилось – 13 %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увеличилось – 14 %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 изменилось – 57%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 – 16 %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5.Рынок ритуальных услуг.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снизилось – 2 %;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увеличилось – 12 %;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 изменилось – 59 %;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 – 27 %.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6.Рынок кадастровых и землеустроительных работ. 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снизилось – 0 %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увеличилось – 13 %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 изменилось – 40%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 – 47 %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7.Рынок легкой промышленности.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снизилось – 7 %;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увеличилось – 10 %;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 изменилось – 44 %;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 – 39 %.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8.Рынок обработки древесины и производства изделий из дерева.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снизилось – 3 %;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увеличилось – 6 %;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 изменилось – 49 %;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 – 42 %.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 результатам опроса, о степени удовлетворенности потребителями качеством товаров, работ, услуг на товарных рынках можно отметить, что большинство опрошенных респондентов были скорее удовлетворены качеством оказываемых услуг. 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процессе сбора данных о состоянии и развитии конкурентной среды было опрошено 12 представителей бизнеса, которые являются собственниками бизнеса или индивидуальными предпринимателями.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ходе анализа анкет предпринимателей установлено следующее: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1.Респонденты по сроку деятельности: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Менее 1 года-9 %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 1 года до 5 лет-21 %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Более 5 лет-70 %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Затрудняюсь ответить- 0 %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2.Респонденты по отраслям: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Оптовая торговля (кроме торговли автотранспортными средствами и мотоциклами) - 4 %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Розничная торговля (кроме торговли автотранспортными средствами и мотоциклами) - 83 %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Операции с недвижимым имуществом, аренда и предоставление услуг - 9 %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Другое (пожалуйста, укажите) торговля косметическими средствами - 4%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3.Респонденты по численности сотрудников организации: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 15 человек - 85 %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Свыше 1000 - 15%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4.Респонденты по величине годового оборота: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 120 млн. рублей (</w:t>
      </w:r>
      <w:proofErr w:type="spellStart"/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микропредприятие</w:t>
      </w:r>
      <w:proofErr w:type="spellEnd"/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- 91%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 120 до 800 млн. рублей (малое предприятие) - 0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 800 до 2000 млн. рублей (среднее предприятие) - 0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Более 2000 млн. рублей - 4%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Затрудняюсь ответить - 5%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5.Доля респондентов по количеству конкурентов бизнеса: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Нет конкурентов - 25%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 1 до 3 конкурентов - 5%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 и более конкурентов - 16 %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Большое число конкурентов - 27%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Затрудняюсь ответить - 25%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 Доля респондентов по изменению числа конкурентов бизнеса: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Увеличилось на 1-3 конкурента - 4 %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Увеличилось более чем на 4 конкурента – 17 %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Сократилось на 1 - 3 конкурента - 4 % 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Сократилось более чем на 4 конкурента – 0 %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 изменилось - 32 %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Затрудняюсь ответить - 43 %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 Доля респондентов по оценке качества официальной информации о состоянии конкурентной среды: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Уровень доступности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удовлетворительное – 13 %;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скорее удовлетворительное –9 %;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скорее неудовлетворительное – 9 %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неудовлетворительное – 13 %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 – 56 %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Уровень понятности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удовлетворительное – 30 %;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скорее удовлетворительное – 9 %.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скорее неудовлетворительное – 9 %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неудовлетворительное – 13 %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 – 39 %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Удобство получения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удовлетворительное – 35 %;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скорее удовлетворительное – 4 %;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скорее неудовлетворительное – 9 %;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неудовлетворительное – 12 %;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затрудняюсь ответить – 40 %.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 Доля респондентов по оценке преодолимости административных барьеров для ведения текущей деятельности: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Есть непреодолимые административные барьеры – 3 %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Есть барьеры, преодолимые при осуществлении значительных затрат - 35 %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Административные барьеры есть, но они преодолимы без существенных затрат- 10 %;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Затрудняюсь ответить - 52 %.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 Доля наиболее существенных административных барьеров: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Сложность получения доступа к земельным участкам – 15 %;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Нестабильность российского законодательства, регулирующего предпринимательскую деятельность – 38 %;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Коррупция (включая взятки, дискриминацию и предоставление преференций отдельным участникам на заведомо неравных условиях) - 16 %;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Высокие налоги – 8 %;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Нет ограничений - 23 %.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 Доля респондентов по оценке деятельности органов власти: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Органы власти помогают бизнесу своими действиями – 23 %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Органы власти ничего не предпринимают, что и требуется – 15 %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Органы власти только мешают бизнесу своими действиями – 15 %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чем-то органы власти помогают, в чем-то мешают - 18 %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Затрудняюсь ответить – 29 %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Обобщая проведенное исследование о состоянии конкуренции на территории Сосновоборского городского округа за первое полугодие 2026г., можно отметить следующее, что субъекты предпринимательской деятельности оценивают её удовлетворительно: основанная часть респондентов считает, что присутствует большая конкуренция (26%), отмечают незначительное увеличение количества конкурентов бизнеса за последние несколько лет (17%). Большинство респондентов считают, что административные барьеры преодолимыми при осуществлении значительных затрат (37%). По мнению респондентов, самым существенным для ведения текущей деятельности или открытия нового бизнеса административным барьером являются нестабильность российского законодательства, регулирующего предпринимательскую деятельность (38%).</w:t>
      </w:r>
    </w:p>
    <w:p w:rsidR="003B346C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 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IV. Реестр хозяйствующих субъектов, осуществляющих свою деятельность на территории Сосновоборского городского округа, доля участия муниципального образования, в которых составляет 50 </w:t>
      </w:r>
      <w:r w:rsidR="00825D6A"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>и более процентов за первое полугодие 2026</w:t>
      </w:r>
      <w:r w:rsidRPr="007A6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:rsidR="00362A74" w:rsidRPr="007A68A2" w:rsidRDefault="00362A74" w:rsidP="00362A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551"/>
        <w:gridCol w:w="4253"/>
      </w:tblGrid>
      <w:tr w:rsidR="00AE1B4A" w:rsidRPr="007A68A2" w:rsidTr="003B346C">
        <w:trPr>
          <w:trHeight w:val="1683"/>
        </w:trPr>
        <w:tc>
          <w:tcPr>
            <w:tcW w:w="534" w:type="dxa"/>
          </w:tcPr>
          <w:p w:rsidR="003B346C" w:rsidRPr="007A68A2" w:rsidRDefault="003B346C" w:rsidP="003B346C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346C" w:rsidRPr="007A68A2" w:rsidRDefault="003B346C" w:rsidP="00F83C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346C" w:rsidRPr="007A68A2" w:rsidRDefault="003B346C" w:rsidP="00F83C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346C" w:rsidRPr="007A68A2" w:rsidRDefault="003B346C" w:rsidP="00F83C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  <w:p w:rsidR="003B346C" w:rsidRPr="007A68A2" w:rsidRDefault="003B346C" w:rsidP="00F83C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346C" w:rsidRPr="007A68A2" w:rsidRDefault="003B346C" w:rsidP="00F83C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346C" w:rsidRPr="007A68A2" w:rsidRDefault="003B346C" w:rsidP="00F83C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346C" w:rsidRPr="007A68A2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51" w:type="dxa"/>
            <w:vAlign w:val="center"/>
          </w:tcPr>
          <w:p w:rsidR="003B346C" w:rsidRPr="007A68A2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Суммарная доля участия (собственности) государства (муниципалитетов) в хозяйствующем субъекте, в процентах</w:t>
            </w:r>
          </w:p>
        </w:tc>
        <w:tc>
          <w:tcPr>
            <w:tcW w:w="4253" w:type="dxa"/>
            <w:vAlign w:val="center"/>
          </w:tcPr>
          <w:p w:rsidR="003B346C" w:rsidRPr="007A68A2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товарного рынка присутствия хозяйствующего субъекта /наименование ОКВЭД</w:t>
            </w:r>
          </w:p>
        </w:tc>
      </w:tr>
      <w:tr w:rsidR="00AE1B4A" w:rsidRPr="007A68A2" w:rsidTr="003B346C">
        <w:trPr>
          <w:trHeight w:val="851"/>
        </w:trPr>
        <w:tc>
          <w:tcPr>
            <w:tcW w:w="534" w:type="dxa"/>
          </w:tcPr>
          <w:p w:rsidR="003B346C" w:rsidRPr="007A68A2" w:rsidRDefault="003B346C" w:rsidP="004169E9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169E9" w:rsidRPr="007A68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3B346C" w:rsidRPr="007A68A2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СМУП «ТСП»</w:t>
            </w:r>
          </w:p>
        </w:tc>
        <w:tc>
          <w:tcPr>
            <w:tcW w:w="2551" w:type="dxa"/>
            <w:vAlign w:val="center"/>
          </w:tcPr>
          <w:p w:rsidR="003B346C" w:rsidRPr="007A68A2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253" w:type="dxa"/>
            <w:vAlign w:val="center"/>
          </w:tcPr>
          <w:p w:rsidR="003B346C" w:rsidRPr="007A68A2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Производство пара и горячей воды (тепловой энергии) котельными</w:t>
            </w:r>
          </w:p>
          <w:p w:rsidR="003B346C" w:rsidRPr="007A68A2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35.30.14</w:t>
            </w:r>
          </w:p>
        </w:tc>
      </w:tr>
      <w:tr w:rsidR="00AE1B4A" w:rsidRPr="007A68A2" w:rsidTr="003B346C">
        <w:trPr>
          <w:trHeight w:val="680"/>
        </w:trPr>
        <w:tc>
          <w:tcPr>
            <w:tcW w:w="534" w:type="dxa"/>
          </w:tcPr>
          <w:p w:rsidR="003B346C" w:rsidRPr="007A68A2" w:rsidRDefault="004169E9" w:rsidP="00D42CA0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268" w:type="dxa"/>
            <w:vAlign w:val="center"/>
          </w:tcPr>
          <w:p w:rsidR="003B346C" w:rsidRPr="007A68A2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СМУП «Водоканал»</w:t>
            </w:r>
            <w:r w:rsidR="008E154D">
              <w:t xml:space="preserve"> </w:t>
            </w:r>
            <w:r w:rsidR="008E154D" w:rsidRPr="008E1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551" w:type="dxa"/>
            <w:vAlign w:val="center"/>
          </w:tcPr>
          <w:p w:rsidR="003B346C" w:rsidRPr="007A68A2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253" w:type="dxa"/>
            <w:vAlign w:val="center"/>
          </w:tcPr>
          <w:p w:rsidR="003B346C" w:rsidRPr="007A68A2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Сбор и обработка сточных вод</w:t>
            </w:r>
          </w:p>
          <w:p w:rsidR="003B346C" w:rsidRPr="007A68A2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90.00.1</w:t>
            </w:r>
          </w:p>
        </w:tc>
      </w:tr>
      <w:tr w:rsidR="00AE1B4A" w:rsidRPr="007A68A2" w:rsidTr="003B346C">
        <w:trPr>
          <w:trHeight w:val="986"/>
        </w:trPr>
        <w:tc>
          <w:tcPr>
            <w:tcW w:w="534" w:type="dxa"/>
          </w:tcPr>
          <w:p w:rsidR="003B346C" w:rsidRPr="007A68A2" w:rsidRDefault="003B346C" w:rsidP="004169E9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169E9" w:rsidRPr="007A68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3B346C" w:rsidRPr="007A68A2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СМУП «Комфорт»</w:t>
            </w:r>
            <w:r w:rsidR="008E154D">
              <w:t xml:space="preserve"> </w:t>
            </w:r>
            <w:r w:rsidR="008E154D" w:rsidRPr="008E1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bookmarkStart w:id="23" w:name="_GoBack"/>
            <w:bookmarkEnd w:id="23"/>
          </w:p>
        </w:tc>
        <w:tc>
          <w:tcPr>
            <w:tcW w:w="2551" w:type="dxa"/>
            <w:vAlign w:val="center"/>
          </w:tcPr>
          <w:p w:rsidR="003B346C" w:rsidRPr="007A68A2" w:rsidRDefault="008E154D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3" w:type="dxa"/>
            <w:vAlign w:val="center"/>
          </w:tcPr>
          <w:p w:rsidR="003B346C" w:rsidRPr="007A68A2" w:rsidRDefault="003B346C" w:rsidP="00F83C02">
            <w:pPr>
              <w:jc w:val="center"/>
              <w:rPr>
                <w:rStyle w:val="bolder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Style w:val="bolder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68.32.1</w:t>
            </w:r>
          </w:p>
          <w:p w:rsidR="003B346C" w:rsidRPr="007A68A2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Style w:val="company-infotex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эксплуатацией жилого фонда за вознаграждение или на договорной основе</w:t>
            </w:r>
          </w:p>
        </w:tc>
      </w:tr>
    </w:tbl>
    <w:p w:rsidR="00F54A5F" w:rsidRPr="007A68A2" w:rsidRDefault="00F54A5F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68A2">
        <w:rPr>
          <w:rFonts w:ascii="Times New Roman" w:hAnsi="Times New Roman" w:cs="Times New Roman"/>
          <w:color w:val="000000" w:themeColor="text1"/>
          <w:sz w:val="20"/>
          <w:szCs w:val="20"/>
        </w:rPr>
        <w:t>* СМУП «Комфорт» ини</w:t>
      </w:r>
      <w:r w:rsidR="00797E3C" w:rsidRPr="007A68A2">
        <w:rPr>
          <w:rFonts w:ascii="Times New Roman" w:hAnsi="Times New Roman" w:cs="Times New Roman"/>
          <w:color w:val="000000" w:themeColor="text1"/>
          <w:sz w:val="20"/>
          <w:szCs w:val="20"/>
        </w:rPr>
        <w:t>циирована процедура банкротства</w:t>
      </w:r>
      <w:r w:rsidR="00797E3C" w:rsidRPr="007A68A2">
        <w:rPr>
          <w:color w:val="000000" w:themeColor="text1"/>
        </w:rPr>
        <w:t xml:space="preserve"> </w:t>
      </w:r>
      <w:r w:rsidR="00797E3C" w:rsidRPr="007A68A2">
        <w:rPr>
          <w:rFonts w:ascii="Times New Roman" w:hAnsi="Times New Roman" w:cs="Times New Roman"/>
          <w:color w:val="000000" w:themeColor="text1"/>
          <w:sz w:val="20"/>
          <w:szCs w:val="20"/>
        </w:rPr>
        <w:t>(дело № А56-77351/2022).</w:t>
      </w:r>
    </w:p>
    <w:p w:rsidR="00972061" w:rsidRPr="007A68A2" w:rsidRDefault="00F54A5F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68A2">
        <w:rPr>
          <w:rFonts w:ascii="Times New Roman" w:hAnsi="Times New Roman" w:cs="Times New Roman"/>
          <w:color w:val="000000" w:themeColor="text1"/>
          <w:sz w:val="20"/>
          <w:szCs w:val="20"/>
        </w:rPr>
        <w:t>**СМУП «Водоканал» осуществляет деятельность по обслуживанию дренажно-ливневой канализации.</w:t>
      </w:r>
    </w:p>
    <w:p w:rsidR="00E05765" w:rsidRPr="007A68A2" w:rsidRDefault="00E05765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05765" w:rsidRPr="007A68A2" w:rsidSect="000D0A69"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141283" w:rsidRPr="007A68A2" w:rsidRDefault="00141283" w:rsidP="001412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68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О достижении ключевых показателей развития конкуренции на рынках товаров, работ и услуг, определенных в планах мероприятий.</w:t>
      </w:r>
    </w:p>
    <w:p w:rsidR="007A68A2" w:rsidRPr="007A68A2" w:rsidRDefault="007A68A2" w:rsidP="007A68A2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68A2">
        <w:rPr>
          <w:rFonts w:ascii="Times New Roman" w:hAnsi="Times New Roman"/>
          <w:b/>
          <w:color w:val="000000" w:themeColor="text1"/>
          <w:sz w:val="24"/>
          <w:szCs w:val="24"/>
        </w:rPr>
        <w:t>Отчета о реализации Плана мероприятий («дорожной карты») по содействию развитию конкуренции в Сосновоборском городском округе за 2 квартал 2026 г.</w:t>
      </w:r>
    </w:p>
    <w:p w:rsidR="007A68A2" w:rsidRPr="007A68A2" w:rsidRDefault="007A68A2" w:rsidP="007A68A2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5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468"/>
        <w:gridCol w:w="3899"/>
        <w:gridCol w:w="889"/>
        <w:gridCol w:w="161"/>
        <w:gridCol w:w="231"/>
        <w:gridCol w:w="1276"/>
        <w:gridCol w:w="2416"/>
        <w:gridCol w:w="2270"/>
      </w:tblGrid>
      <w:tr w:rsidR="007A68A2" w:rsidRPr="007A68A2" w:rsidTr="000D071D">
        <w:tc>
          <w:tcPr>
            <w:tcW w:w="566" w:type="dxa"/>
            <w:vMerge w:val="restart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468" w:type="dxa"/>
            <w:vMerge w:val="restart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Мероприятия, направленные на достижение целевого показателя</w:t>
            </w:r>
          </w:p>
        </w:tc>
        <w:tc>
          <w:tcPr>
            <w:tcW w:w="3899" w:type="dxa"/>
            <w:vMerge w:val="restart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Style w:val="7pt0pt"/>
                <w:rFonts w:eastAsia="Calibri"/>
                <w:b w:val="0"/>
                <w:color w:val="000000" w:themeColor="text1"/>
                <w:sz w:val="20"/>
                <w:szCs w:val="20"/>
              </w:rPr>
              <w:t>Наименование ключевого показателя развития конкуренции в отраслях (сферах) экономики</w:t>
            </w:r>
          </w:p>
        </w:tc>
        <w:tc>
          <w:tcPr>
            <w:tcW w:w="2557" w:type="dxa"/>
            <w:gridSpan w:val="4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Значение показателя</w:t>
            </w:r>
          </w:p>
        </w:tc>
        <w:tc>
          <w:tcPr>
            <w:tcW w:w="2416" w:type="dxa"/>
            <w:vMerge w:val="restart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Результат мероприятия</w:t>
            </w: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7A68A2" w:rsidRPr="007A68A2" w:rsidTr="000D071D">
        <w:trPr>
          <w:trHeight w:val="1830"/>
        </w:trPr>
        <w:tc>
          <w:tcPr>
            <w:tcW w:w="566" w:type="dxa"/>
            <w:vMerge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vMerge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9" w:type="dxa"/>
            <w:vMerge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План</w:t>
            </w: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2026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Факт</w:t>
            </w: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 кв.</w:t>
            </w: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2026г.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68A2" w:rsidRPr="007A68A2" w:rsidTr="000D071D">
        <w:trPr>
          <w:trHeight w:val="163"/>
        </w:trPr>
        <w:tc>
          <w:tcPr>
            <w:tcW w:w="15176" w:type="dxa"/>
            <w:gridSpan w:val="9"/>
            <w:shd w:val="clear" w:color="auto" w:fill="auto"/>
          </w:tcPr>
          <w:p w:rsidR="007A68A2" w:rsidRPr="007A68A2" w:rsidRDefault="007A68A2" w:rsidP="000D0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Мероприятия по содействию развитию конкуренции на рынках товаров, работ и услуг в Сосновоборском городском округе.</w:t>
            </w:r>
          </w:p>
        </w:tc>
      </w:tr>
      <w:tr w:rsidR="007A68A2" w:rsidRPr="007A68A2" w:rsidTr="000D071D">
        <w:trPr>
          <w:trHeight w:val="177"/>
        </w:trPr>
        <w:tc>
          <w:tcPr>
            <w:tcW w:w="15176" w:type="dxa"/>
            <w:gridSpan w:val="9"/>
            <w:shd w:val="clear" w:color="auto" w:fill="auto"/>
          </w:tcPr>
          <w:p w:rsidR="007A68A2" w:rsidRPr="007A68A2" w:rsidRDefault="007A68A2" w:rsidP="000D0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1.Рынок выполнения работ по благоустройству городской среды.</w:t>
            </w: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A68A2" w:rsidRPr="007A68A2" w:rsidTr="000D071D">
        <w:tc>
          <w:tcPr>
            <w:tcW w:w="566" w:type="dxa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 конкурсных процедур на право заключения муниципальных контрактов на выполнение работ по благоустройству городской среды.</w:t>
            </w:r>
          </w:p>
        </w:tc>
        <w:tc>
          <w:tcPr>
            <w:tcW w:w="3899" w:type="dxa"/>
            <w:shd w:val="clear" w:color="auto" w:fill="auto"/>
          </w:tcPr>
          <w:p w:rsidR="007A68A2" w:rsidRPr="007A68A2" w:rsidRDefault="007A68A2" w:rsidP="000D071D">
            <w:pPr>
              <w:pStyle w:val="4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eastAsia="ru-RU"/>
              </w:rPr>
            </w:pPr>
            <w:r w:rsidRPr="007A68A2">
              <w:rPr>
                <w:rStyle w:val="95pt0pt"/>
                <w:rFonts w:eastAsia="Arial"/>
                <w:color w:val="000000" w:themeColor="text1"/>
                <w:sz w:val="20"/>
                <w:szCs w:val="20"/>
              </w:rPr>
              <w:t xml:space="preserve">Доля муниципальных контрактов на выполнение работ по благоустройству городской среды, оказанных (выполненных) организациями частной формы собственности.(%) </w:t>
            </w:r>
          </w:p>
        </w:tc>
        <w:tc>
          <w:tcPr>
            <w:tcW w:w="1281" w:type="dxa"/>
            <w:gridSpan w:val="3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Style w:val="95pt0pt"/>
                <w:rFonts w:eastAsia="Arial"/>
                <w:b w:val="0"/>
                <w:color w:val="000000" w:themeColor="text1"/>
                <w:sz w:val="20"/>
                <w:szCs w:val="20"/>
              </w:rPr>
            </w:pP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Style w:val="95pt0pt"/>
                <w:rFonts w:eastAsia="Arial"/>
                <w:b w:val="0"/>
                <w:color w:val="000000" w:themeColor="text1"/>
                <w:sz w:val="20"/>
                <w:szCs w:val="20"/>
              </w:rPr>
              <w:t>Не менее 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68A2" w:rsidRPr="007A68A2" w:rsidTr="000D071D">
        <w:trPr>
          <w:trHeight w:val="232"/>
        </w:trPr>
        <w:tc>
          <w:tcPr>
            <w:tcW w:w="151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Style w:val="10pt0pt"/>
                <w:rFonts w:eastAsia="Calibri"/>
                <w:color w:val="000000" w:themeColor="text1"/>
              </w:rPr>
              <w:t>2.</w:t>
            </w: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Сфера наружной рекламы</w:t>
            </w:r>
          </w:p>
        </w:tc>
      </w:tr>
      <w:tr w:rsidR="007A68A2" w:rsidRPr="007A68A2" w:rsidTr="000D071D">
        <w:trPr>
          <w:trHeight w:val="484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A68A2">
              <w:rPr>
                <w:rFonts w:ascii="Times New Roman" w:hAnsi="Times New Roman" w:cs="Times New Roman"/>
                <w:color w:val="000000" w:themeColor="text1"/>
                <w:sz w:val="20"/>
              </w:rPr>
              <w:t>1. Актуализация схем размещения рекламных конструкций (предварительное согласование схем размещения рекламных конструкций и вносимых в них изменений).</w:t>
            </w:r>
          </w:p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 Разработка и выдача рекомендаций органам исполнительной власти и местного самоуправления на основе предложений, поступивших от специализированных профильных общественных организаций и объединений, по вопросам содействия развитию конкуренции на рынке наружной рекламы </w:t>
            </w:r>
          </w:p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 Размещение на официальных сайтах ОМСУ перечня всех нормативных правовых актов и местных локальных актов, регулирующих сферы наружной рекламы.</w:t>
            </w: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pStyle w:val="4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eastAsia="ru-RU"/>
              </w:rPr>
            </w:pPr>
            <w:r w:rsidRPr="007A68A2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eastAsia="ru-RU"/>
              </w:rPr>
              <w:t xml:space="preserve">Доля организаций частной формы собственности в сфере наружной рекламы </w:t>
            </w: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Схема размещения рекламных конструкций обновляется по мере внесения изменений.</w:t>
            </w:r>
          </w:p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Регулярно проводится мониторинг рекламных конструкций на территории Сосновоборского городского округа.</w:t>
            </w:r>
          </w:p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Консультирование предпринимателей в части размещения рекламных конструкций на территории Сосновоборского городского округа.</w:t>
            </w:r>
          </w:p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Выполняются поручения и учитываются рекомендации Правительства Ленинградской области.</w:t>
            </w:r>
          </w:p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Перечень НПА размещен на официальном сайте администрации Сосновоборского городского округа. Перечень НПА обновляется по мере внесения изменений.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68A2" w:rsidRPr="007A68A2" w:rsidTr="000D071D">
        <w:trPr>
          <w:trHeight w:val="300"/>
        </w:trPr>
        <w:tc>
          <w:tcPr>
            <w:tcW w:w="151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3.Рынок архитектурно-строительного проектирования</w:t>
            </w:r>
          </w:p>
        </w:tc>
      </w:tr>
      <w:tr w:rsidR="007A68A2" w:rsidRPr="007A68A2" w:rsidTr="000D071D">
        <w:trPr>
          <w:trHeight w:val="841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A68A2">
              <w:rPr>
                <w:rFonts w:ascii="Times New Roman" w:hAnsi="Times New Roman" w:cs="Times New Roman"/>
                <w:color w:val="000000" w:themeColor="text1"/>
                <w:sz w:val="20"/>
              </w:rPr>
              <w:t>1. Обеспечение создания и функционирования государственной информационной системы обеспечения градостроительной деятельности Ленинградской области.</w:t>
            </w:r>
          </w:p>
          <w:p w:rsidR="007A68A2" w:rsidRPr="007A68A2" w:rsidRDefault="007A68A2" w:rsidP="000D07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A68A2">
              <w:rPr>
                <w:rFonts w:ascii="Times New Roman" w:hAnsi="Times New Roman" w:cs="Times New Roman"/>
                <w:color w:val="000000" w:themeColor="text1"/>
                <w:sz w:val="20"/>
              </w:rPr>
              <w:t>2. Проведение обучающих семинаров в целях повышения уровня квалификации представителей конкурирующих структур.</w:t>
            </w:r>
          </w:p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 Разработка единых требований к подготовке документации в сфере архитектурно-строительного проектирования</w:t>
            </w:r>
          </w:p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pStyle w:val="41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eastAsia="ru-RU"/>
              </w:rPr>
            </w:pPr>
            <w:r w:rsidRPr="007A68A2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eastAsia="ru-RU"/>
              </w:rPr>
              <w:t>Доля организаций частной формы собственности в сфере архитектурно-строительного проектирования</w:t>
            </w: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Создана и функционирует ГИСОГД ЛО.</w:t>
            </w:r>
          </w:p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официальном сайте администрации Сосновоборского городского округа размещается информация о проведении конкурсов и семинаров.</w:t>
            </w:r>
          </w:p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Утверждены единые требования к подготовке документации в сфере архитектурно-строительного проектирования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68A2" w:rsidRPr="007A68A2" w:rsidTr="000D071D">
        <w:trPr>
          <w:trHeight w:val="288"/>
        </w:trPr>
        <w:tc>
          <w:tcPr>
            <w:tcW w:w="151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7A68A2" w:rsidRPr="007A68A2" w:rsidTr="000D071D">
        <w:trPr>
          <w:trHeight w:val="58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A68A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1.Проведение конкурсных процедур на право заключения муниципальных контрактов и (или) выдачу свидетельств в порядке, установленном Федеральным </w:t>
            </w:r>
            <w:hyperlink r:id="rId10" w:history="1">
              <w:r w:rsidRPr="007A68A2">
                <w:rPr>
                  <w:rFonts w:ascii="Times New Roman" w:hAnsi="Times New Roman" w:cs="Times New Roman"/>
                  <w:color w:val="000000" w:themeColor="text1"/>
                  <w:sz w:val="20"/>
                </w:rPr>
                <w:t>законом</w:t>
              </w:r>
            </w:hyperlink>
            <w:r w:rsidRPr="007A68A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Федерации".</w:t>
            </w:r>
          </w:p>
          <w:p w:rsidR="007A68A2" w:rsidRPr="007A68A2" w:rsidRDefault="007A68A2" w:rsidP="000D07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A68A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 Актуализация документа планирования регулярных автоперевозок пассажиров по муниципальным маршрутам </w:t>
            </w:r>
            <w:r w:rsidRPr="007A68A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Ленинградской области с учетом предложений, изложенных в обращениях негосударственных перевозчиков.</w:t>
            </w:r>
          </w:p>
          <w:p w:rsidR="007A68A2" w:rsidRPr="007A68A2" w:rsidRDefault="007A68A2" w:rsidP="000D07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pStyle w:val="41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eastAsia="ru-RU"/>
              </w:rPr>
            </w:pPr>
            <w:r w:rsidRPr="007A68A2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eastAsia="ru-RU"/>
              </w:rPr>
              <w:lastRenderedPageBreak/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68A2" w:rsidRPr="007A68A2" w:rsidRDefault="007A68A2" w:rsidP="000D071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68A2" w:rsidRPr="007A68A2" w:rsidRDefault="007A68A2" w:rsidP="000D071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 результатам конкурсных процедур заключены муниципальные контракты по пассажирским перевозкам:</w:t>
            </w: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с ООО «Ленинградская АЭС-Авто» (МК № 0145300000124000252 от 07.12.2024г.) на период с 01.01.2025 по 31.12.2026;</w:t>
            </w: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с ООО «</w:t>
            </w:r>
            <w:proofErr w:type="spellStart"/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ЭлесТранс</w:t>
            </w:r>
            <w:proofErr w:type="spellEnd"/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(МК № 0145300000125000229 от 01.11.2025г.) на период с 01.01.2026 по 31.12.2026;</w:t>
            </w: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с ООО «</w:t>
            </w:r>
            <w:proofErr w:type="spellStart"/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ЭлесТранс</w:t>
            </w:r>
            <w:proofErr w:type="spellEnd"/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(МК № 0145300000125000236 от 07.11.2025г.) на период с 01.01.2026 по 31.12.2026;</w:t>
            </w: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с ООО «</w:t>
            </w:r>
            <w:proofErr w:type="spellStart"/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ЭлесТранс</w:t>
            </w:r>
            <w:proofErr w:type="spellEnd"/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(МК № 0145300000125000227 от 31.10.2025г.) на период с 01.01.2026 по 31.12.2026;</w:t>
            </w: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с ООО «</w:t>
            </w:r>
            <w:proofErr w:type="spellStart"/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ЭлесТранс</w:t>
            </w:r>
            <w:proofErr w:type="spellEnd"/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(МК № 0145300000125000281 от 12.12.2025г.) на период с 01.01.2026 по 31.12.2026;</w:t>
            </w: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с ООО «</w:t>
            </w:r>
            <w:proofErr w:type="spellStart"/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ЭлесТранс</w:t>
            </w:r>
            <w:proofErr w:type="spellEnd"/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(МК № 0145300000125000228 от 01.11.2025г.) на период с 01.01.2026 по 31.12.2026.</w:t>
            </w:r>
          </w:p>
        </w:tc>
        <w:tc>
          <w:tcPr>
            <w:tcW w:w="2270" w:type="dxa"/>
            <w:tcBorders>
              <w:bottom w:val="single" w:sz="3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68A2" w:rsidRPr="007A68A2" w:rsidTr="000D071D">
        <w:trPr>
          <w:trHeight w:val="287"/>
        </w:trPr>
        <w:tc>
          <w:tcPr>
            <w:tcW w:w="151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5. Рынок ритуальных услуг</w:t>
            </w:r>
          </w:p>
        </w:tc>
      </w:tr>
      <w:tr w:rsidR="007A68A2" w:rsidRPr="007A68A2" w:rsidTr="000D071D">
        <w:trPr>
          <w:trHeight w:val="2614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 конкурсных процедур на право оказания ритуальных услуг в соответствии с законодательством, проведение конкурсных процедур по содержанию общественных кладбищ и транспортировке тел умерших в соответствии с Федеральным законом № 44-ФЗ "О контрактной системе в сфере закупок товаров, работ, услуг для обеспечения государственных и муниципальных нужд" от 05.04.2013г.</w:t>
            </w:r>
          </w:p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pStyle w:val="41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eastAsia="ru-RU"/>
              </w:rPr>
            </w:pPr>
            <w:r w:rsidRPr="007A68A2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eastAsia="ru-RU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8A2" w:rsidRPr="007A68A2" w:rsidRDefault="007A68A2" w:rsidP="000D071D">
            <w:pPr>
              <w:jc w:val="center"/>
              <w:rPr>
                <w:color w:val="000000" w:themeColor="text1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8A2" w:rsidRPr="007A68A2" w:rsidRDefault="007A68A2" w:rsidP="000D071D">
            <w:pPr>
              <w:jc w:val="center"/>
              <w:rPr>
                <w:color w:val="000000" w:themeColor="text1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 результатам конкурсных процедур заключены договора и муниципальные контракты:</w:t>
            </w: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на право оказания ритуальных услуг с ООО «</w:t>
            </w:r>
            <w:proofErr w:type="spellStart"/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Сосновоборская</w:t>
            </w:r>
            <w:proofErr w:type="spellEnd"/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ритуальная компания» (Договор № 103 от 01.03.2024г.) сроком на 7 лет;</w:t>
            </w: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по уборке общественных кладбищ и мемориала с ООО «</w:t>
            </w:r>
            <w:proofErr w:type="spellStart"/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Сосновоборская</w:t>
            </w:r>
            <w:proofErr w:type="spellEnd"/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ритуальная компания» (МК </w:t>
            </w: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№0145300000125000208 от 14.11.2025г.) на период с 01.01.2026 по 31.12.2026г.;</w:t>
            </w: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по транспортировке тел умерших в морг с ООО «</w:t>
            </w:r>
            <w:proofErr w:type="spellStart"/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Сосновоборская</w:t>
            </w:r>
            <w:proofErr w:type="spellEnd"/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ритуальная компания» (МК №0145300000125000207 от 27.10.2025г.) на период с 01.01.2026 по 31.12.2026.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68A2" w:rsidRPr="007A68A2" w:rsidTr="000D071D">
        <w:trPr>
          <w:trHeight w:val="240"/>
        </w:trPr>
        <w:tc>
          <w:tcPr>
            <w:tcW w:w="151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6. Рынок кадастровых и землеустроительных работ</w:t>
            </w:r>
          </w:p>
        </w:tc>
      </w:tr>
      <w:tr w:rsidR="007A68A2" w:rsidRPr="007A68A2" w:rsidTr="000D071D">
        <w:trPr>
          <w:trHeight w:val="484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A68A2">
              <w:rPr>
                <w:rFonts w:ascii="Times New Roman" w:hAnsi="Times New Roman" w:cs="Times New Roman"/>
                <w:color w:val="000000" w:themeColor="text1"/>
                <w:sz w:val="20"/>
              </w:rPr>
              <w:t>Определение государственных муниципальных) унитарных предприятий и хозяйственных обществ с участием Ленинградской области, и органов местного самоуправления, осуществляющих деятельность в сфере кадастровых и землеустроительных работ. Включение таких организаций в план-график по реорганизации/ ликвидации или программу приватизации</w:t>
            </w:r>
          </w:p>
          <w:p w:rsidR="007A68A2" w:rsidRPr="007A68A2" w:rsidRDefault="007A68A2" w:rsidP="000D07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pStyle w:val="41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eastAsia="ru-RU"/>
              </w:rPr>
            </w:pPr>
            <w:r w:rsidRPr="007A68A2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eastAsia="ru-RU"/>
              </w:rPr>
              <w:t>Доля организаций частной формы собственности в сфере кадастровых и землеустроительных работ</w:t>
            </w: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8A2" w:rsidRPr="007A68A2" w:rsidRDefault="007A68A2" w:rsidP="000D071D">
            <w:pPr>
              <w:jc w:val="center"/>
              <w:rPr>
                <w:color w:val="000000" w:themeColor="text1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8A2" w:rsidRPr="007A68A2" w:rsidRDefault="007A68A2" w:rsidP="000D071D">
            <w:pPr>
              <w:jc w:val="center"/>
              <w:rPr>
                <w:color w:val="000000" w:themeColor="text1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СМУП «</w:t>
            </w:r>
            <w:proofErr w:type="spellStart"/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Горкадастрпроект</w:t>
            </w:r>
            <w:proofErr w:type="spellEnd"/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 ликвидировано 30.09.2024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68A2" w:rsidRPr="007A68A2" w:rsidTr="000D071D">
        <w:trPr>
          <w:trHeight w:val="177"/>
        </w:trPr>
        <w:tc>
          <w:tcPr>
            <w:tcW w:w="151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7.Рынок легкой промышленности</w:t>
            </w:r>
          </w:p>
        </w:tc>
      </w:tr>
      <w:tr w:rsidR="007A68A2" w:rsidRPr="007A68A2" w:rsidTr="000D071D">
        <w:trPr>
          <w:trHeight w:val="950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A68A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Ежеквартальный мониторинг финансово-хозяйственной деятельности предприятий легкой промышленности</w:t>
            </w: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pStyle w:val="41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eastAsia="ru-RU"/>
              </w:rPr>
            </w:pPr>
            <w:r w:rsidRPr="007A68A2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eastAsia="ru-RU"/>
              </w:rPr>
              <w:t>Доля организаций частной формы собственности в сфере легкой промышленности</w:t>
            </w: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68A2" w:rsidRPr="007A68A2" w:rsidTr="000D071D">
        <w:trPr>
          <w:trHeight w:val="240"/>
        </w:trPr>
        <w:tc>
          <w:tcPr>
            <w:tcW w:w="151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8.Рынок обработки древесины и производства изделий из дерева</w:t>
            </w:r>
          </w:p>
        </w:tc>
      </w:tr>
      <w:tr w:rsidR="007A68A2" w:rsidRPr="007A68A2" w:rsidTr="000D071D">
        <w:trPr>
          <w:trHeight w:val="1271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A68A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Ежеквартальный мониторинг финансово-хозяйственной деятельности предприятий в сфере обработки древесины и производства изделий из дерева</w:t>
            </w:r>
          </w:p>
          <w:p w:rsidR="007A68A2" w:rsidRPr="007A68A2" w:rsidRDefault="007A68A2" w:rsidP="000D07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7A68A2" w:rsidRPr="007A68A2" w:rsidRDefault="007A68A2" w:rsidP="000D07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pStyle w:val="41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eastAsia="ru-RU"/>
              </w:rPr>
            </w:pPr>
            <w:r w:rsidRPr="007A68A2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eastAsia="ru-RU"/>
              </w:rPr>
              <w:t>Доля организаций частной формы собственности в сфере обработки древесины и производства изделий из дерева</w:t>
            </w: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68A2" w:rsidRPr="007A68A2" w:rsidTr="000D071D">
        <w:trPr>
          <w:trHeight w:val="238"/>
        </w:trPr>
        <w:tc>
          <w:tcPr>
            <w:tcW w:w="15176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II</w:t>
            </w: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Системные мероприятия по развитию конкурентной среды в Сосновоборском городском округе</w:t>
            </w:r>
          </w:p>
        </w:tc>
      </w:tr>
      <w:tr w:rsidR="007A68A2" w:rsidRPr="007A68A2" w:rsidTr="000D071D">
        <w:trPr>
          <w:trHeight w:val="2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Style w:val="ArialNarrow9pt0pt"/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№ п/п</w:t>
            </w:r>
            <w:r w:rsidRPr="007A68A2">
              <w:rPr>
                <w:rStyle w:val="ArialNarrow9pt0pt"/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Мероприятия, направленные на достижение целевого показателя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Style w:val="7pt0pt"/>
                <w:rFonts w:eastAsia="Calibri"/>
                <w:color w:val="000000" w:themeColor="text1"/>
                <w:sz w:val="20"/>
                <w:szCs w:val="20"/>
              </w:rPr>
              <w:t>Целевые индикаторы, единица измерения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Значение показателя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Результат мероприятия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7A68A2" w:rsidRPr="007A68A2" w:rsidTr="000D071D">
        <w:trPr>
          <w:trHeight w:val="4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Style w:val="ArialNarrow9pt0pt"/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План 2026 год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Факт</w:t>
            </w: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 кв.</w:t>
            </w: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2026г.</w:t>
            </w: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68A2" w:rsidRPr="007A68A2" w:rsidTr="000D071D">
        <w:trPr>
          <w:trHeight w:val="207"/>
        </w:trPr>
        <w:tc>
          <w:tcPr>
            <w:tcW w:w="15176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Style w:val="1"/>
                <w:color w:val="000000" w:themeColor="text1"/>
                <w:sz w:val="20"/>
                <w:szCs w:val="20"/>
              </w:rPr>
              <w:t>1</w:t>
            </w:r>
            <w:r w:rsidRPr="007A68A2">
              <w:rPr>
                <w:rStyle w:val="1"/>
                <w:b w:val="0"/>
                <w:color w:val="000000" w:themeColor="text1"/>
                <w:sz w:val="20"/>
                <w:szCs w:val="20"/>
              </w:rPr>
              <w:t>.</w:t>
            </w: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Развитие конкурентоспособности товаров, работ, услуг субъектов малого и среднего предпринимательства.</w:t>
            </w:r>
          </w:p>
        </w:tc>
      </w:tr>
      <w:tr w:rsidR="007A68A2" w:rsidRPr="007A68A2" w:rsidTr="000D071D">
        <w:trPr>
          <w:trHeight w:val="1610"/>
        </w:trPr>
        <w:tc>
          <w:tcPr>
            <w:tcW w:w="566" w:type="dxa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3468" w:type="dxa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Style w:val="ArialNarrow9pt0pt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Информационная, консультационная и образовательная поддержка субъектов малого и среднего предпринимательства</w:t>
            </w:r>
          </w:p>
        </w:tc>
        <w:tc>
          <w:tcPr>
            <w:tcW w:w="3899" w:type="dxa"/>
            <w:shd w:val="clear" w:color="auto" w:fill="auto"/>
          </w:tcPr>
          <w:p w:rsidR="007A68A2" w:rsidRPr="007A68A2" w:rsidRDefault="007A68A2" w:rsidP="000D071D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Style w:val="10pt"/>
                <w:rFonts w:eastAsia="Calibri"/>
                <w:b w:val="0"/>
                <w:color w:val="000000" w:themeColor="text1"/>
              </w:rPr>
              <w:t>Доля уникальных субъектов малого и среднего предпринимательства, которым на безвозмездной основе предоставлена информационная, консультационная и образовательная  поддержка в %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17,6%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Субъектов МСП всего – 2071, охвачено услугами – 356 субъектов.</w:t>
            </w:r>
          </w:p>
        </w:tc>
      </w:tr>
      <w:tr w:rsidR="007A68A2" w:rsidRPr="007A68A2" w:rsidTr="000D071D">
        <w:trPr>
          <w:trHeight w:val="1050"/>
        </w:trPr>
        <w:tc>
          <w:tcPr>
            <w:tcW w:w="566" w:type="dxa"/>
            <w:shd w:val="clear" w:color="auto" w:fill="auto"/>
          </w:tcPr>
          <w:p w:rsidR="007A68A2" w:rsidRPr="007A68A2" w:rsidRDefault="007A68A2" w:rsidP="000D071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3468" w:type="dxa"/>
            <w:shd w:val="clear" w:color="auto" w:fill="auto"/>
          </w:tcPr>
          <w:p w:rsidR="007A68A2" w:rsidRPr="007A68A2" w:rsidRDefault="007A68A2" w:rsidP="000D071D">
            <w:pPr>
              <w:spacing w:line="240" w:lineRule="auto"/>
              <w:rPr>
                <w:rStyle w:val="ArialNarrow9pt0pt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7A68A2">
              <w:rPr>
                <w:rStyle w:val="ArialNarrow9pt0pt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Увеличение количества нестационарных торговых объектов и торговых мест под них не менее чем на 5 процентов к 2030 году по отношению к 2025 году.</w:t>
            </w:r>
          </w:p>
        </w:tc>
        <w:tc>
          <w:tcPr>
            <w:tcW w:w="3899" w:type="dxa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Style w:val="95pt0pt"/>
                <w:rFonts w:eastAsia="Arial"/>
                <w:b w:val="0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нестационарных и мобильных торговых объектов, ед.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Новых НТО на территории СГО за </w:t>
            </w: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кв.2026г. - 1</w:t>
            </w:r>
          </w:p>
        </w:tc>
        <w:tc>
          <w:tcPr>
            <w:tcW w:w="2270" w:type="dxa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68A2" w:rsidRPr="007A68A2" w:rsidTr="000D071D">
        <w:trPr>
          <w:trHeight w:val="58"/>
        </w:trPr>
        <w:tc>
          <w:tcPr>
            <w:tcW w:w="566" w:type="dxa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3468" w:type="dxa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Style w:val="95pt0pt"/>
                <w:rFonts w:eastAsia="Arial"/>
                <w:b w:val="0"/>
                <w:color w:val="000000" w:themeColor="text1"/>
                <w:sz w:val="20"/>
                <w:szCs w:val="20"/>
              </w:rPr>
            </w:pPr>
            <w:r w:rsidRPr="007A68A2">
              <w:rPr>
                <w:rStyle w:val="95pt0pt"/>
                <w:rFonts w:eastAsia="Calibri"/>
                <w:b w:val="0"/>
                <w:color w:val="000000" w:themeColor="text1"/>
                <w:sz w:val="20"/>
                <w:szCs w:val="20"/>
              </w:rPr>
              <w:t xml:space="preserve">Оказание методической и консультационной помощи </w:t>
            </w: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оказание консультативной помощи гражданам, в том числе - главам крестьянских (фермерских) хозяйств, членам таких хозяйств, гражданам, ведущим личные подсобные хозяйства или занимающиеся садоводством, огородничеством</w:t>
            </w:r>
          </w:p>
          <w:p w:rsidR="007A68A2" w:rsidRPr="007A68A2" w:rsidRDefault="007A68A2" w:rsidP="000D071D">
            <w:pPr>
              <w:spacing w:after="0" w:line="240" w:lineRule="auto"/>
              <w:rPr>
                <w:rStyle w:val="ArialNarrow9pt0pt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7A68A2">
              <w:rPr>
                <w:rStyle w:val="95pt0pt"/>
                <w:rFonts w:eastAsia="Arial"/>
                <w:b w:val="0"/>
                <w:color w:val="000000" w:themeColor="text1"/>
                <w:sz w:val="20"/>
                <w:szCs w:val="20"/>
              </w:rPr>
              <w:t>по вопросам участия в ярмарках и организации нестационарных торговых объектов.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Style w:val="95pt0pt"/>
                <w:rFonts w:eastAsia="Arial"/>
                <w:b w:val="0"/>
                <w:color w:val="000000" w:themeColor="text1"/>
                <w:sz w:val="20"/>
                <w:szCs w:val="20"/>
              </w:rPr>
            </w:pPr>
            <w:r w:rsidRPr="007A68A2">
              <w:rPr>
                <w:rStyle w:val="95pt0pt"/>
                <w:rFonts w:eastAsia="Arial"/>
                <w:b w:val="0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Количество обращений за </w:t>
            </w: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кв. 2026г. по:</w:t>
            </w:r>
          </w:p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1) вопросам НТО — 4;</w:t>
            </w:r>
          </w:p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2) вопросам ярмарочных мероприятий — 0</w:t>
            </w:r>
            <w:r w:rsidRPr="007A68A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70" w:type="dxa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68A2" w:rsidRPr="007A68A2" w:rsidTr="000D071D">
        <w:trPr>
          <w:trHeight w:val="104"/>
        </w:trPr>
        <w:tc>
          <w:tcPr>
            <w:tcW w:w="15176" w:type="dxa"/>
            <w:gridSpan w:val="9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Style w:val="10pt0pt"/>
                <w:rFonts w:eastAsia="Calibri"/>
                <w:color w:val="000000" w:themeColor="text1"/>
              </w:rPr>
              <w:t xml:space="preserve"> 2. Устранение избыточного государственного и муниципального регулирования, а также снижение административных барьеров.</w:t>
            </w:r>
          </w:p>
        </w:tc>
      </w:tr>
      <w:tr w:rsidR="007A68A2" w:rsidRPr="007A68A2" w:rsidTr="000D071D">
        <w:trPr>
          <w:trHeight w:val="1485"/>
        </w:trPr>
        <w:tc>
          <w:tcPr>
            <w:tcW w:w="566" w:type="dxa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3468" w:type="dxa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Содействие в устранении административных барьеров и препятствий сдерживающих развитие предпринимательства </w:t>
            </w:r>
          </w:p>
        </w:tc>
        <w:tc>
          <w:tcPr>
            <w:tcW w:w="3899" w:type="dxa"/>
            <w:shd w:val="clear" w:color="auto" w:fill="auto"/>
          </w:tcPr>
          <w:p w:rsidR="007A68A2" w:rsidRPr="007A68A2" w:rsidRDefault="007A68A2" w:rsidP="000D071D">
            <w:pPr>
              <w:pStyle w:val="41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eastAsia="ru-RU"/>
              </w:rPr>
            </w:pPr>
            <w:r w:rsidRPr="007A68A2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eastAsia="ru-RU"/>
              </w:rPr>
              <w:t>Проведение заседаний координационного совета по вопросам развития малого и среднего предпринимательства к общему числу запланированных заседаний на текущий год, %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68A2" w:rsidRPr="007A68A2" w:rsidTr="000D071D">
        <w:trPr>
          <w:trHeight w:val="173"/>
        </w:trPr>
        <w:tc>
          <w:tcPr>
            <w:tcW w:w="15176" w:type="dxa"/>
            <w:gridSpan w:val="9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3.Совершенствование процессов управления в рамках полномочий органов местного самоуправления, закрепленных за ними законодательством РФ, объектами государственной собственности субъекта РФ и муниципальной собственности, а также на ограничение влияния государственных и муниципальных предприятий на конкуренцию</w:t>
            </w:r>
          </w:p>
        </w:tc>
      </w:tr>
      <w:tr w:rsidR="007A68A2" w:rsidRPr="007A68A2" w:rsidTr="000D071D">
        <w:trPr>
          <w:trHeight w:val="753"/>
        </w:trPr>
        <w:tc>
          <w:tcPr>
            <w:tcW w:w="566" w:type="dxa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3.1</w:t>
            </w:r>
          </w:p>
        </w:tc>
        <w:tc>
          <w:tcPr>
            <w:tcW w:w="3468" w:type="dxa"/>
            <w:shd w:val="clear" w:color="auto" w:fill="auto"/>
          </w:tcPr>
          <w:p w:rsidR="007A68A2" w:rsidRPr="007A68A2" w:rsidRDefault="007A68A2" w:rsidP="000D071D">
            <w:pPr>
              <w:pStyle w:val="41"/>
              <w:spacing w:after="0" w:line="240" w:lineRule="auto"/>
              <w:ind w:firstLine="0"/>
              <w:rPr>
                <w:rStyle w:val="95pt0pt"/>
                <w:rFonts w:eastAsia="Arial"/>
                <w:color w:val="000000" w:themeColor="text1"/>
                <w:sz w:val="20"/>
                <w:szCs w:val="20"/>
              </w:rPr>
            </w:pPr>
            <w:r w:rsidRPr="007A68A2">
              <w:rPr>
                <w:rStyle w:val="95pt0pt"/>
                <w:rFonts w:eastAsia="Arial"/>
                <w:color w:val="000000" w:themeColor="text1"/>
                <w:sz w:val="20"/>
                <w:szCs w:val="20"/>
              </w:rPr>
              <w:t xml:space="preserve">Обеспечение равных условий доступа к информации о реализации муниципального имущества, путем размещения указанной информации на официальном сайте о проведении торгов Российской Федерации </w:t>
            </w:r>
            <w:r w:rsidRPr="007A68A2">
              <w:rPr>
                <w:rStyle w:val="95pt0pt"/>
                <w:rFonts w:eastAsia="Arial"/>
                <w:color w:val="000000" w:themeColor="text1"/>
                <w:sz w:val="20"/>
                <w:szCs w:val="20"/>
                <w:lang w:bidi="en-US"/>
              </w:rPr>
              <w:t>(</w:t>
            </w:r>
            <w:hyperlink r:id="rId11" w:history="1">
              <w:r w:rsidRPr="007A68A2">
                <w:rPr>
                  <w:rStyle w:val="a6"/>
                  <w:b w:val="0"/>
                  <w:bCs w:val="0"/>
                  <w:color w:val="000000" w:themeColor="text1"/>
                  <w:spacing w:val="0"/>
                  <w:lang w:val="en-US" w:bidi="en-US"/>
                </w:rPr>
                <w:t>www</w:t>
              </w:r>
              <w:r w:rsidRPr="007A68A2">
                <w:rPr>
                  <w:rStyle w:val="a6"/>
                  <w:b w:val="0"/>
                  <w:bCs w:val="0"/>
                  <w:color w:val="000000" w:themeColor="text1"/>
                  <w:spacing w:val="0"/>
                  <w:lang w:bidi="en-US"/>
                </w:rPr>
                <w:t>.</w:t>
              </w:r>
              <w:proofErr w:type="spellStart"/>
              <w:r w:rsidRPr="007A68A2">
                <w:rPr>
                  <w:rStyle w:val="a6"/>
                  <w:b w:val="0"/>
                  <w:bCs w:val="0"/>
                  <w:color w:val="000000" w:themeColor="text1"/>
                  <w:spacing w:val="0"/>
                  <w:lang w:val="en-US" w:bidi="en-US"/>
                </w:rPr>
                <w:t>torgi</w:t>
              </w:r>
              <w:proofErr w:type="spellEnd"/>
              <w:r w:rsidRPr="007A68A2">
                <w:rPr>
                  <w:rStyle w:val="a6"/>
                  <w:b w:val="0"/>
                  <w:bCs w:val="0"/>
                  <w:color w:val="000000" w:themeColor="text1"/>
                  <w:spacing w:val="0"/>
                  <w:lang w:bidi="en-US"/>
                </w:rPr>
                <w:t>.</w:t>
              </w:r>
              <w:proofErr w:type="spellStart"/>
              <w:r w:rsidRPr="007A68A2">
                <w:rPr>
                  <w:rStyle w:val="a6"/>
                  <w:b w:val="0"/>
                  <w:bCs w:val="0"/>
                  <w:color w:val="000000" w:themeColor="text1"/>
                  <w:spacing w:val="0"/>
                  <w:lang w:val="en-US" w:bidi="en-US"/>
                </w:rPr>
                <w:t>gov</w:t>
              </w:r>
              <w:proofErr w:type="spellEnd"/>
              <w:r w:rsidRPr="007A68A2">
                <w:rPr>
                  <w:rStyle w:val="a6"/>
                  <w:b w:val="0"/>
                  <w:bCs w:val="0"/>
                  <w:color w:val="000000" w:themeColor="text1"/>
                  <w:spacing w:val="0"/>
                  <w:lang w:bidi="en-US"/>
                </w:rPr>
                <w:t>.</w:t>
              </w:r>
              <w:proofErr w:type="spellStart"/>
              <w:r w:rsidRPr="007A68A2">
                <w:rPr>
                  <w:rStyle w:val="a6"/>
                  <w:b w:val="0"/>
                  <w:bCs w:val="0"/>
                  <w:color w:val="000000" w:themeColor="text1"/>
                  <w:spacing w:val="0"/>
                  <w:lang w:val="en-US" w:bidi="en-US"/>
                </w:rPr>
                <w:t>ru</w:t>
              </w:r>
              <w:proofErr w:type="spellEnd"/>
            </w:hyperlink>
            <w:r w:rsidRPr="007A68A2">
              <w:rPr>
                <w:rStyle w:val="95pt0pt"/>
                <w:rFonts w:eastAsia="Arial"/>
                <w:color w:val="000000" w:themeColor="text1"/>
                <w:sz w:val="20"/>
                <w:szCs w:val="20"/>
                <w:lang w:bidi="en-US"/>
              </w:rPr>
              <w:t xml:space="preserve">) </w:t>
            </w:r>
            <w:r w:rsidRPr="007A68A2">
              <w:rPr>
                <w:rStyle w:val="95pt0pt"/>
                <w:rFonts w:eastAsia="Arial"/>
                <w:color w:val="000000" w:themeColor="text1"/>
                <w:sz w:val="20"/>
                <w:szCs w:val="20"/>
              </w:rPr>
              <w:t xml:space="preserve">и на официальном сайте </w:t>
            </w:r>
            <w:r w:rsidRPr="007A68A2">
              <w:rPr>
                <w:rStyle w:val="ArialNarrow9pt0pt"/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Сосновоборского городского округа</w:t>
            </w:r>
            <w:r w:rsidRPr="007A68A2">
              <w:rPr>
                <w:rStyle w:val="95pt0pt"/>
                <w:rFonts w:eastAsia="Arial"/>
                <w:color w:val="000000" w:themeColor="text1"/>
                <w:sz w:val="20"/>
                <w:szCs w:val="20"/>
              </w:rPr>
              <w:t xml:space="preserve"> в сети «Интернет»</w:t>
            </w:r>
          </w:p>
          <w:p w:rsidR="007A68A2" w:rsidRPr="007A68A2" w:rsidRDefault="007A68A2" w:rsidP="000D071D">
            <w:pPr>
              <w:pStyle w:val="41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shd w:val="clear" w:color="auto" w:fill="auto"/>
          </w:tcPr>
          <w:p w:rsidR="007A68A2" w:rsidRPr="007A68A2" w:rsidRDefault="007A68A2" w:rsidP="000D071D">
            <w:pPr>
              <w:pStyle w:val="4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 w:themeColor="text1"/>
                <w:spacing w:val="0"/>
                <w:sz w:val="20"/>
                <w:szCs w:val="20"/>
                <w:lang w:eastAsia="ru-RU"/>
              </w:rPr>
            </w:pPr>
            <w:r w:rsidRPr="007A68A2">
              <w:rPr>
                <w:rStyle w:val="95pt0pt"/>
                <w:rFonts w:eastAsia="Arial"/>
                <w:color w:val="000000" w:themeColor="text1"/>
                <w:sz w:val="20"/>
                <w:szCs w:val="20"/>
              </w:rPr>
              <w:t>Количество объявленных аукционов, ед.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7A68A2" w:rsidRPr="007A68A2" w:rsidRDefault="007A68A2" w:rsidP="000D071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7A68A2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:rsidR="007A68A2" w:rsidRPr="007A68A2" w:rsidRDefault="007A68A2" w:rsidP="000D071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7A68A2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7A68A2" w:rsidRPr="007A68A2" w:rsidRDefault="007A68A2" w:rsidP="000D071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7A68A2">
              <w:rPr>
                <w:color w:val="000000" w:themeColor="text1"/>
                <w:sz w:val="20"/>
                <w:szCs w:val="20"/>
              </w:rPr>
              <w:t>За 2 кв. 2026 г. было объявлено 9 аукционов</w:t>
            </w:r>
          </w:p>
          <w:p w:rsidR="007A68A2" w:rsidRPr="007A68A2" w:rsidRDefault="007A68A2" w:rsidP="000D071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7A68A2" w:rsidRPr="007A68A2" w:rsidRDefault="007A68A2" w:rsidP="000D071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A68A2" w:rsidRPr="007A68A2" w:rsidTr="000D071D">
        <w:trPr>
          <w:trHeight w:val="913"/>
        </w:trPr>
        <w:tc>
          <w:tcPr>
            <w:tcW w:w="566" w:type="dxa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3468" w:type="dxa"/>
            <w:shd w:val="clear" w:color="auto" w:fill="auto"/>
          </w:tcPr>
          <w:p w:rsidR="007A68A2" w:rsidRPr="007A68A2" w:rsidRDefault="007A68A2" w:rsidP="000D071D">
            <w:pPr>
              <w:pStyle w:val="4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 w:themeColor="text1"/>
                <w:spacing w:val="0"/>
                <w:sz w:val="20"/>
                <w:szCs w:val="20"/>
                <w:lang w:eastAsia="ru-RU"/>
              </w:rPr>
            </w:pPr>
            <w:r w:rsidRPr="007A68A2">
              <w:rPr>
                <w:rStyle w:val="95pt0pt"/>
                <w:rFonts w:eastAsia="Arial"/>
                <w:color w:val="000000" w:themeColor="text1"/>
                <w:sz w:val="20"/>
                <w:szCs w:val="20"/>
              </w:rPr>
              <w:t>Снижение количества</w:t>
            </w:r>
          </w:p>
          <w:p w:rsidR="007A68A2" w:rsidRPr="007A68A2" w:rsidRDefault="007A68A2" w:rsidP="000D071D">
            <w:pPr>
              <w:spacing w:after="0" w:line="240" w:lineRule="auto"/>
              <w:rPr>
                <w:rStyle w:val="ArialNarrow9pt0pt"/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7A68A2">
              <w:rPr>
                <w:rStyle w:val="95pt0pt"/>
                <w:rFonts w:eastAsia="Arial"/>
                <w:b w:val="0"/>
                <w:color w:val="000000" w:themeColor="text1"/>
                <w:sz w:val="20"/>
                <w:szCs w:val="20"/>
              </w:rPr>
              <w:t xml:space="preserve">муниципальных унитарных предприятий </w:t>
            </w:r>
            <w:r w:rsidRPr="007A68A2">
              <w:rPr>
                <w:rStyle w:val="ArialNarrow9pt0pt"/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</w:rPr>
              <w:t>Сосновоборского городского округа</w:t>
            </w:r>
          </w:p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</w:tcPr>
          <w:p w:rsidR="007A68A2" w:rsidRPr="007A68A2" w:rsidRDefault="007A68A2" w:rsidP="000D071D">
            <w:pPr>
              <w:pStyle w:val="4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 w:themeColor="text1"/>
                <w:spacing w:val="0"/>
                <w:sz w:val="20"/>
                <w:szCs w:val="20"/>
                <w:lang w:eastAsia="ru-RU"/>
              </w:rPr>
            </w:pPr>
            <w:r w:rsidRPr="007A68A2">
              <w:rPr>
                <w:rStyle w:val="95pt0pt"/>
                <w:rFonts w:eastAsia="Arial"/>
                <w:color w:val="000000" w:themeColor="text1"/>
                <w:sz w:val="20"/>
                <w:szCs w:val="20"/>
              </w:rPr>
              <w:t>Количество действующих</w:t>
            </w:r>
          </w:p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Style w:val="95pt0pt"/>
                <w:rFonts w:eastAsia="Arial"/>
                <w:b w:val="0"/>
                <w:color w:val="000000" w:themeColor="text1"/>
                <w:sz w:val="20"/>
                <w:szCs w:val="20"/>
              </w:rPr>
              <w:t>муниципальных унитарных предприятий, ед.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СМУП «ТСП», СМУП «ВОДОКАНАЛ»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СМУП ЖКО «Комфорт» в стадии банкротства (дело № А56-77351/2022)</w:t>
            </w:r>
          </w:p>
        </w:tc>
      </w:tr>
      <w:tr w:rsidR="007A68A2" w:rsidRPr="007A68A2" w:rsidTr="000D071D">
        <w:trPr>
          <w:trHeight w:val="282"/>
        </w:trPr>
        <w:tc>
          <w:tcPr>
            <w:tcW w:w="566" w:type="dxa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3468" w:type="dxa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Style w:val="95pt0pt"/>
                <w:rFonts w:eastAsia="Arial"/>
                <w:b w:val="0"/>
                <w:color w:val="000000" w:themeColor="text1"/>
                <w:sz w:val="20"/>
                <w:szCs w:val="20"/>
              </w:rPr>
            </w:pPr>
            <w:r w:rsidRPr="007A68A2">
              <w:rPr>
                <w:rStyle w:val="95pt0pt"/>
                <w:rFonts w:eastAsia="Arial"/>
                <w:b w:val="0"/>
                <w:color w:val="000000" w:themeColor="text1"/>
                <w:sz w:val="20"/>
                <w:szCs w:val="20"/>
              </w:rPr>
              <w:t>Выход муниципального образования из учредителей хозяйственных обществ (товариществ), которые фактически прекратили свою деятельность или являются нерентабельными и не выплачивают учредителям дивиденды (часть прибыли)</w:t>
            </w:r>
          </w:p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Style w:val="95pt0pt"/>
                <w:rFonts w:eastAsia="Arial"/>
                <w:b w:val="0"/>
                <w:color w:val="000000" w:themeColor="text1"/>
                <w:sz w:val="20"/>
                <w:szCs w:val="20"/>
              </w:rPr>
              <w:t>Количество хозяйственных обществ (товариществ), из которых осуществлен выход муниципального образования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ООО «СТВ», АНО редакция газеты «Маяк»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7A68A2" w:rsidRPr="007A68A2" w:rsidRDefault="007A68A2" w:rsidP="000D071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7A68A2">
              <w:rPr>
                <w:color w:val="000000" w:themeColor="text1"/>
                <w:sz w:val="20"/>
                <w:szCs w:val="20"/>
              </w:rPr>
              <w:t>Выход муниципального образования из учредителей хозяйственных обществ (товариществ) не планируется</w:t>
            </w:r>
          </w:p>
        </w:tc>
      </w:tr>
      <w:tr w:rsidR="007A68A2" w:rsidRPr="007A68A2" w:rsidTr="000D071D">
        <w:trPr>
          <w:trHeight w:val="1185"/>
        </w:trPr>
        <w:tc>
          <w:tcPr>
            <w:tcW w:w="566" w:type="dxa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3468" w:type="dxa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Style w:val="95pt0pt"/>
                <w:rFonts w:eastAsia="Arial"/>
                <w:b w:val="0"/>
                <w:color w:val="000000" w:themeColor="text1"/>
                <w:sz w:val="20"/>
                <w:szCs w:val="20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3899" w:type="dxa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A68A2">
              <w:rPr>
                <w:rStyle w:val="95pt0pt"/>
                <w:rFonts w:eastAsia="Arial"/>
                <w:b w:val="0"/>
                <w:color w:val="000000" w:themeColor="text1"/>
                <w:sz w:val="20"/>
                <w:szCs w:val="20"/>
              </w:rPr>
              <w:t>Количество субъектов малого и среднего предпринимательства, получивших имущество (в том числе земельные участки) в пользование на льготных условиях, ед.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Подписаны постановления о предоставлении 16 субъектам муниципальной преференции в виде заключения договоров аренды помещений без проведения торгов (включая самозанятых граждан и ИП)</w:t>
            </w:r>
          </w:p>
        </w:tc>
      </w:tr>
      <w:tr w:rsidR="007A68A2" w:rsidRPr="007A68A2" w:rsidTr="000D071D">
        <w:trPr>
          <w:trHeight w:val="2043"/>
        </w:trPr>
        <w:tc>
          <w:tcPr>
            <w:tcW w:w="566" w:type="dxa"/>
            <w:shd w:val="clear" w:color="auto" w:fill="auto"/>
          </w:tcPr>
          <w:p w:rsidR="007A68A2" w:rsidRPr="007A68A2" w:rsidRDefault="007A68A2" w:rsidP="000D071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3.5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line="240" w:lineRule="auto"/>
              <w:jc w:val="center"/>
              <w:rPr>
                <w:rStyle w:val="95pt0pt"/>
                <w:rFonts w:eastAsia="Arial"/>
                <w:b w:val="0"/>
                <w:color w:val="000000" w:themeColor="text1"/>
                <w:sz w:val="20"/>
                <w:szCs w:val="20"/>
              </w:rPr>
            </w:pPr>
            <w:r w:rsidRPr="007A68A2">
              <w:rPr>
                <w:rStyle w:val="95pt0pt"/>
                <w:rFonts w:eastAsia="Arial"/>
                <w:b w:val="0"/>
                <w:color w:val="000000" w:themeColor="text1"/>
                <w:sz w:val="20"/>
                <w:szCs w:val="20"/>
              </w:rPr>
              <w:t>Реестр кладбищ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line="240" w:lineRule="auto"/>
              <w:jc w:val="center"/>
              <w:rPr>
                <w:rStyle w:val="95pt0pt"/>
                <w:rFonts w:eastAsia="Arial"/>
                <w:b w:val="0"/>
                <w:color w:val="000000" w:themeColor="text1"/>
                <w:sz w:val="20"/>
                <w:szCs w:val="20"/>
              </w:rPr>
            </w:pPr>
            <w:r w:rsidRPr="007A68A2">
              <w:rPr>
                <w:rStyle w:val="95pt0pt"/>
                <w:rFonts w:eastAsia="Arial"/>
                <w:b w:val="0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7A68A2" w:rsidRPr="007A68A2" w:rsidRDefault="007A68A2" w:rsidP="000D071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68A2" w:rsidRPr="007A68A2" w:rsidRDefault="007A68A2" w:rsidP="000D071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:rsidR="007A68A2" w:rsidRPr="007A68A2" w:rsidRDefault="007A68A2" w:rsidP="000D071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68A2" w:rsidRPr="007A68A2" w:rsidRDefault="007A68A2" w:rsidP="000D071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Реестр кладбищ и реестр хозяйствующих субъектов, имеющих право на оказание услуг по организации похорон, полностью сформированы.</w:t>
            </w:r>
          </w:p>
        </w:tc>
        <w:tc>
          <w:tcPr>
            <w:tcW w:w="2270" w:type="dxa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68A2" w:rsidRPr="007A68A2" w:rsidTr="000D071D">
        <w:trPr>
          <w:trHeight w:val="342"/>
        </w:trPr>
        <w:tc>
          <w:tcPr>
            <w:tcW w:w="566" w:type="dxa"/>
            <w:shd w:val="clear" w:color="auto" w:fill="auto"/>
          </w:tcPr>
          <w:p w:rsidR="007A68A2" w:rsidRPr="007A68A2" w:rsidRDefault="007A68A2" w:rsidP="000D071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3.6</w:t>
            </w:r>
          </w:p>
        </w:tc>
        <w:tc>
          <w:tcPr>
            <w:tcW w:w="3468" w:type="dxa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Style w:val="95pt0pt"/>
                <w:rFonts w:eastAsia="Arial"/>
                <w:b w:val="0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  <w:lang w:bidi="ru-RU"/>
              </w:rPr>
              <w:t>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3899" w:type="dxa"/>
            <w:shd w:val="clear" w:color="auto" w:fill="auto"/>
          </w:tcPr>
          <w:p w:rsidR="007A68A2" w:rsidRPr="007A68A2" w:rsidRDefault="007A68A2" w:rsidP="000D071D">
            <w:pPr>
              <w:spacing w:line="240" w:lineRule="auto"/>
              <w:rPr>
                <w:rStyle w:val="95pt0pt"/>
                <w:rFonts w:eastAsia="Arial"/>
                <w:color w:val="000000" w:themeColor="text1"/>
                <w:sz w:val="20"/>
                <w:szCs w:val="20"/>
              </w:rPr>
            </w:pPr>
            <w:r w:rsidRPr="007A68A2">
              <w:rPr>
                <w:rStyle w:val="95pt0pt"/>
                <w:rFonts w:eastAsia="Arial"/>
                <w:b w:val="0"/>
                <w:color w:val="000000" w:themeColor="text1"/>
                <w:sz w:val="20"/>
                <w:szCs w:val="20"/>
              </w:rPr>
              <w:t>Количество объектов, не</w:t>
            </w:r>
            <w:r w:rsidRPr="007A68A2">
              <w:rPr>
                <w:rStyle w:val="95pt0pt"/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  <w:r w:rsidRPr="007A68A2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  <w:lang w:bidi="ru-RU"/>
              </w:rPr>
              <w:t>предназначенных для реализации функций и полномочий органов местного самоуправления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:rsidR="007A68A2" w:rsidRPr="007A68A2" w:rsidRDefault="007A68A2" w:rsidP="000D071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6" w:type="dxa"/>
            <w:shd w:val="clear" w:color="auto" w:fill="auto"/>
          </w:tcPr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 объекта по адресу: </w:t>
            </w:r>
            <w:proofErr w:type="spellStart"/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ул.Ленинградская</w:t>
            </w:r>
            <w:proofErr w:type="spellEnd"/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д. 1,</w:t>
            </w:r>
          </w:p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Здание </w:t>
            </w:r>
            <w:proofErr w:type="spellStart"/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ул.Пионерская</w:t>
            </w:r>
            <w:proofErr w:type="spellEnd"/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д.6,</w:t>
            </w:r>
          </w:p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Помещение </w:t>
            </w:r>
            <w:proofErr w:type="spellStart"/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ул.Молодежная</w:t>
            </w:r>
            <w:proofErr w:type="spellEnd"/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д. 26а,</w:t>
            </w:r>
          </w:p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объекта по адресу: Больничный городок, д. 3/13,</w:t>
            </w:r>
          </w:p>
          <w:p w:rsidR="007A68A2" w:rsidRPr="007A68A2" w:rsidRDefault="007A68A2" w:rsidP="000D0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8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Аппаратно-программный комплекс «Дорожный пристав» (движимое)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7A68A2" w:rsidRPr="007A68A2" w:rsidRDefault="007A68A2" w:rsidP="000D071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</w:p>
        </w:tc>
      </w:tr>
    </w:tbl>
    <w:p w:rsidR="007A68A2" w:rsidRPr="007A68A2" w:rsidRDefault="007A68A2" w:rsidP="007A68A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0"/>
        </w:rPr>
      </w:pPr>
    </w:p>
    <w:p w:rsidR="007A68A2" w:rsidRPr="007A68A2" w:rsidRDefault="007A68A2" w:rsidP="007A68A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0"/>
        </w:rPr>
      </w:pPr>
    </w:p>
    <w:p w:rsidR="007A68A2" w:rsidRPr="007A68A2" w:rsidRDefault="007A68A2" w:rsidP="007A68A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0"/>
        </w:rPr>
      </w:pPr>
    </w:p>
    <w:p w:rsidR="007A68A2" w:rsidRPr="007A68A2" w:rsidRDefault="007A68A2" w:rsidP="007A68A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0"/>
        </w:rPr>
      </w:pPr>
    </w:p>
    <w:p w:rsidR="00141283" w:rsidRPr="007A68A2" w:rsidRDefault="00141283" w:rsidP="001412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0"/>
        </w:rPr>
      </w:pPr>
    </w:p>
    <w:p w:rsidR="00141283" w:rsidRPr="007A68A2" w:rsidRDefault="00141283" w:rsidP="001412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2"/>
          <w:szCs w:val="20"/>
        </w:rPr>
      </w:pPr>
    </w:p>
    <w:p w:rsidR="001B781D" w:rsidRPr="003D2113" w:rsidRDefault="001B781D" w:rsidP="001412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sectPr w:rsidR="001B781D" w:rsidRPr="003D2113" w:rsidSect="00E916FC">
      <w:headerReference w:type="default" r:id="rId12"/>
      <w:pgSz w:w="16838" w:h="11906" w:orient="landscape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21" w:rsidRDefault="00101321" w:rsidP="00E44EF5">
      <w:pPr>
        <w:spacing w:after="0" w:line="240" w:lineRule="auto"/>
      </w:pPr>
      <w:r>
        <w:separator/>
      </w:r>
    </w:p>
  </w:endnote>
  <w:endnote w:type="continuationSeparator" w:id="0">
    <w:p w:rsidR="00101321" w:rsidRDefault="00101321" w:rsidP="00E4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21" w:rsidRDefault="00101321" w:rsidP="00E44EF5">
      <w:pPr>
        <w:spacing w:after="0" w:line="240" w:lineRule="auto"/>
      </w:pPr>
      <w:r>
        <w:separator/>
      </w:r>
    </w:p>
  </w:footnote>
  <w:footnote w:type="continuationSeparator" w:id="0">
    <w:p w:rsidR="00101321" w:rsidRDefault="00101321" w:rsidP="00E4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21" w:rsidRDefault="00101321">
    <w:pPr>
      <w:pStyle w:val="af2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7518400</wp:posOffset>
              </wp:positionH>
              <wp:positionV relativeFrom="page">
                <wp:posOffset>254000</wp:posOffset>
              </wp:positionV>
              <wp:extent cx="2540000" cy="228600"/>
              <wp:effectExtent l="3175" t="0" r="0" b="317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321" w:rsidRPr="00DE05FD" w:rsidRDefault="00101321" w:rsidP="00E916FC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6405207/887572(1)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592pt;margin-top:20pt;width:20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" filled="f" stroked="f">
              <v:textbox inset="0,0,0,0">
                <w:txbxContent>
                  <w:p w:rsidR="00101321" w:rsidRPr="00DE05FD" w:rsidRDefault="00101321" w:rsidP="00E916FC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6405207/887572(1)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E5854"/>
    <w:multiLevelType w:val="hybridMultilevel"/>
    <w:tmpl w:val="E06E8FFC"/>
    <w:lvl w:ilvl="0" w:tplc="3878D5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B75977"/>
    <w:multiLevelType w:val="hybridMultilevel"/>
    <w:tmpl w:val="FB6ABFC8"/>
    <w:lvl w:ilvl="0" w:tplc="0B424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AB1E58"/>
    <w:multiLevelType w:val="hybridMultilevel"/>
    <w:tmpl w:val="46E2E41E"/>
    <w:lvl w:ilvl="0" w:tplc="035A005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23A2A"/>
    <w:multiLevelType w:val="hybridMultilevel"/>
    <w:tmpl w:val="929044EC"/>
    <w:lvl w:ilvl="0" w:tplc="7046BB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75B4F"/>
    <w:multiLevelType w:val="hybridMultilevel"/>
    <w:tmpl w:val="73060E38"/>
    <w:lvl w:ilvl="0" w:tplc="09E286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940E3"/>
    <w:multiLevelType w:val="hybridMultilevel"/>
    <w:tmpl w:val="00C49BE8"/>
    <w:lvl w:ilvl="0" w:tplc="A62A4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0359E"/>
    <w:multiLevelType w:val="hybridMultilevel"/>
    <w:tmpl w:val="480EBF42"/>
    <w:lvl w:ilvl="0" w:tplc="4A32DC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67"/>
    <w:rsid w:val="000001D9"/>
    <w:rsid w:val="000028E0"/>
    <w:rsid w:val="00007E5E"/>
    <w:rsid w:val="0001240A"/>
    <w:rsid w:val="00015CDA"/>
    <w:rsid w:val="00025B42"/>
    <w:rsid w:val="00025DEB"/>
    <w:rsid w:val="00027278"/>
    <w:rsid w:val="000352B1"/>
    <w:rsid w:val="00037CBB"/>
    <w:rsid w:val="00042F18"/>
    <w:rsid w:val="00046226"/>
    <w:rsid w:val="000528BA"/>
    <w:rsid w:val="000568B6"/>
    <w:rsid w:val="00057B22"/>
    <w:rsid w:val="000609DE"/>
    <w:rsid w:val="00066923"/>
    <w:rsid w:val="00067B7C"/>
    <w:rsid w:val="000714DA"/>
    <w:rsid w:val="00076764"/>
    <w:rsid w:val="000802B6"/>
    <w:rsid w:val="00080AC8"/>
    <w:rsid w:val="00084C43"/>
    <w:rsid w:val="000901E3"/>
    <w:rsid w:val="00090AEF"/>
    <w:rsid w:val="000916AF"/>
    <w:rsid w:val="00093C88"/>
    <w:rsid w:val="000940B5"/>
    <w:rsid w:val="00097204"/>
    <w:rsid w:val="000A46EF"/>
    <w:rsid w:val="000A7CAC"/>
    <w:rsid w:val="000B1397"/>
    <w:rsid w:val="000B1CF1"/>
    <w:rsid w:val="000B221D"/>
    <w:rsid w:val="000B36AB"/>
    <w:rsid w:val="000B4C81"/>
    <w:rsid w:val="000B5007"/>
    <w:rsid w:val="000B7650"/>
    <w:rsid w:val="000C1793"/>
    <w:rsid w:val="000C2FBC"/>
    <w:rsid w:val="000C3818"/>
    <w:rsid w:val="000C5344"/>
    <w:rsid w:val="000C7F13"/>
    <w:rsid w:val="000D0A69"/>
    <w:rsid w:val="000D4002"/>
    <w:rsid w:val="000D4FC6"/>
    <w:rsid w:val="000F0C83"/>
    <w:rsid w:val="000F2D74"/>
    <w:rsid w:val="000F4BA2"/>
    <w:rsid w:val="00101321"/>
    <w:rsid w:val="001120F5"/>
    <w:rsid w:val="00112988"/>
    <w:rsid w:val="00112F13"/>
    <w:rsid w:val="001134FC"/>
    <w:rsid w:val="0013615E"/>
    <w:rsid w:val="00137E30"/>
    <w:rsid w:val="00141283"/>
    <w:rsid w:val="0014377D"/>
    <w:rsid w:val="00145695"/>
    <w:rsid w:val="0014577C"/>
    <w:rsid w:val="00151F61"/>
    <w:rsid w:val="00155E63"/>
    <w:rsid w:val="00156F65"/>
    <w:rsid w:val="0016237E"/>
    <w:rsid w:val="00164A4E"/>
    <w:rsid w:val="00165A04"/>
    <w:rsid w:val="00166511"/>
    <w:rsid w:val="00177999"/>
    <w:rsid w:val="00180552"/>
    <w:rsid w:val="001807FB"/>
    <w:rsid w:val="00183728"/>
    <w:rsid w:val="0018796B"/>
    <w:rsid w:val="00195EF6"/>
    <w:rsid w:val="00196362"/>
    <w:rsid w:val="001A04AA"/>
    <w:rsid w:val="001A29EF"/>
    <w:rsid w:val="001A4F0B"/>
    <w:rsid w:val="001B03F4"/>
    <w:rsid w:val="001B781D"/>
    <w:rsid w:val="001C1FDD"/>
    <w:rsid w:val="001C4499"/>
    <w:rsid w:val="001C4C74"/>
    <w:rsid w:val="001D37A3"/>
    <w:rsid w:val="001D53E5"/>
    <w:rsid w:val="001D6CE9"/>
    <w:rsid w:val="001E3E51"/>
    <w:rsid w:val="001F3228"/>
    <w:rsid w:val="001F3595"/>
    <w:rsid w:val="001F7E09"/>
    <w:rsid w:val="00200C8D"/>
    <w:rsid w:val="00203C7D"/>
    <w:rsid w:val="00210BD1"/>
    <w:rsid w:val="00211584"/>
    <w:rsid w:val="00212069"/>
    <w:rsid w:val="00214459"/>
    <w:rsid w:val="002173B9"/>
    <w:rsid w:val="00224092"/>
    <w:rsid w:val="00225100"/>
    <w:rsid w:val="002304C7"/>
    <w:rsid w:val="00234596"/>
    <w:rsid w:val="00234AFD"/>
    <w:rsid w:val="00242FD6"/>
    <w:rsid w:val="00243B69"/>
    <w:rsid w:val="0025324B"/>
    <w:rsid w:val="00253A64"/>
    <w:rsid w:val="002576C8"/>
    <w:rsid w:val="002656BF"/>
    <w:rsid w:val="00265FBE"/>
    <w:rsid w:val="00271498"/>
    <w:rsid w:val="00271C39"/>
    <w:rsid w:val="002735B9"/>
    <w:rsid w:val="002739DA"/>
    <w:rsid w:val="00281E79"/>
    <w:rsid w:val="00282289"/>
    <w:rsid w:val="0029369A"/>
    <w:rsid w:val="00293F45"/>
    <w:rsid w:val="002940EA"/>
    <w:rsid w:val="00294AAF"/>
    <w:rsid w:val="002A0D55"/>
    <w:rsid w:val="002A10FD"/>
    <w:rsid w:val="002A777E"/>
    <w:rsid w:val="002B1F96"/>
    <w:rsid w:val="002B22B4"/>
    <w:rsid w:val="002B3860"/>
    <w:rsid w:val="002C06A9"/>
    <w:rsid w:val="002C0908"/>
    <w:rsid w:val="002C66C1"/>
    <w:rsid w:val="002D0D39"/>
    <w:rsid w:val="002D5A23"/>
    <w:rsid w:val="002D730A"/>
    <w:rsid w:val="002E00D5"/>
    <w:rsid w:val="002E6F48"/>
    <w:rsid w:val="002E7D47"/>
    <w:rsid w:val="002F082D"/>
    <w:rsid w:val="002F2086"/>
    <w:rsid w:val="002F47A3"/>
    <w:rsid w:val="002F573E"/>
    <w:rsid w:val="003002C6"/>
    <w:rsid w:val="00301EE5"/>
    <w:rsid w:val="00302BDD"/>
    <w:rsid w:val="00302E20"/>
    <w:rsid w:val="003033B4"/>
    <w:rsid w:val="00304280"/>
    <w:rsid w:val="00314BF7"/>
    <w:rsid w:val="00315543"/>
    <w:rsid w:val="00315D34"/>
    <w:rsid w:val="00315D5A"/>
    <w:rsid w:val="00330425"/>
    <w:rsid w:val="00333029"/>
    <w:rsid w:val="003346A4"/>
    <w:rsid w:val="0034509D"/>
    <w:rsid w:val="003505B5"/>
    <w:rsid w:val="00351A31"/>
    <w:rsid w:val="00352523"/>
    <w:rsid w:val="00355857"/>
    <w:rsid w:val="0036018F"/>
    <w:rsid w:val="003617DC"/>
    <w:rsid w:val="00362A74"/>
    <w:rsid w:val="00364778"/>
    <w:rsid w:val="00367B4E"/>
    <w:rsid w:val="00372DD7"/>
    <w:rsid w:val="0037620A"/>
    <w:rsid w:val="003800C2"/>
    <w:rsid w:val="003851B0"/>
    <w:rsid w:val="00387BD8"/>
    <w:rsid w:val="003931FA"/>
    <w:rsid w:val="00394E90"/>
    <w:rsid w:val="00397219"/>
    <w:rsid w:val="003B049A"/>
    <w:rsid w:val="003B0AD7"/>
    <w:rsid w:val="003B346C"/>
    <w:rsid w:val="003B495E"/>
    <w:rsid w:val="003B6308"/>
    <w:rsid w:val="003B73C5"/>
    <w:rsid w:val="003B740A"/>
    <w:rsid w:val="003C2B85"/>
    <w:rsid w:val="003D2113"/>
    <w:rsid w:val="003D335D"/>
    <w:rsid w:val="003D4783"/>
    <w:rsid w:val="003D6284"/>
    <w:rsid w:val="003D631E"/>
    <w:rsid w:val="003E3D70"/>
    <w:rsid w:val="003E4D52"/>
    <w:rsid w:val="003F38F1"/>
    <w:rsid w:val="004011EA"/>
    <w:rsid w:val="0040190A"/>
    <w:rsid w:val="0040479B"/>
    <w:rsid w:val="004106B2"/>
    <w:rsid w:val="004120F1"/>
    <w:rsid w:val="004134AF"/>
    <w:rsid w:val="00413A26"/>
    <w:rsid w:val="00415A42"/>
    <w:rsid w:val="004169E9"/>
    <w:rsid w:val="004201CF"/>
    <w:rsid w:val="00421087"/>
    <w:rsid w:val="004302B6"/>
    <w:rsid w:val="00430E50"/>
    <w:rsid w:val="004334E4"/>
    <w:rsid w:val="0043784D"/>
    <w:rsid w:val="00440B6B"/>
    <w:rsid w:val="004419C8"/>
    <w:rsid w:val="004434C6"/>
    <w:rsid w:val="00461B09"/>
    <w:rsid w:val="00472F2A"/>
    <w:rsid w:val="004745A3"/>
    <w:rsid w:val="00481B7B"/>
    <w:rsid w:val="004840BA"/>
    <w:rsid w:val="004877AE"/>
    <w:rsid w:val="00492F0A"/>
    <w:rsid w:val="00495732"/>
    <w:rsid w:val="0049591D"/>
    <w:rsid w:val="004969F8"/>
    <w:rsid w:val="00496CF6"/>
    <w:rsid w:val="004A3460"/>
    <w:rsid w:val="004A464C"/>
    <w:rsid w:val="004A47F7"/>
    <w:rsid w:val="004A57A6"/>
    <w:rsid w:val="004B3FB4"/>
    <w:rsid w:val="004C113A"/>
    <w:rsid w:val="004C212B"/>
    <w:rsid w:val="004C2FD5"/>
    <w:rsid w:val="004C327F"/>
    <w:rsid w:val="004C3E47"/>
    <w:rsid w:val="004C730C"/>
    <w:rsid w:val="004D035C"/>
    <w:rsid w:val="004D129F"/>
    <w:rsid w:val="004D15CD"/>
    <w:rsid w:val="004D4D44"/>
    <w:rsid w:val="004D6C6B"/>
    <w:rsid w:val="004D76FE"/>
    <w:rsid w:val="004E170A"/>
    <w:rsid w:val="004E2790"/>
    <w:rsid w:val="004E4388"/>
    <w:rsid w:val="004E6340"/>
    <w:rsid w:val="004F0F96"/>
    <w:rsid w:val="004F44BC"/>
    <w:rsid w:val="004F6C96"/>
    <w:rsid w:val="00501351"/>
    <w:rsid w:val="005065BF"/>
    <w:rsid w:val="005066FC"/>
    <w:rsid w:val="00511B08"/>
    <w:rsid w:val="00512109"/>
    <w:rsid w:val="0051388D"/>
    <w:rsid w:val="005145BF"/>
    <w:rsid w:val="00515923"/>
    <w:rsid w:val="00516DEF"/>
    <w:rsid w:val="00517834"/>
    <w:rsid w:val="00520880"/>
    <w:rsid w:val="00520D0C"/>
    <w:rsid w:val="0052469E"/>
    <w:rsid w:val="005267C4"/>
    <w:rsid w:val="00531943"/>
    <w:rsid w:val="0053217E"/>
    <w:rsid w:val="00532F3A"/>
    <w:rsid w:val="005365A9"/>
    <w:rsid w:val="00536FA0"/>
    <w:rsid w:val="00541841"/>
    <w:rsid w:val="00541DBC"/>
    <w:rsid w:val="00545632"/>
    <w:rsid w:val="0054619C"/>
    <w:rsid w:val="005476E4"/>
    <w:rsid w:val="00550850"/>
    <w:rsid w:val="0055138D"/>
    <w:rsid w:val="0055179B"/>
    <w:rsid w:val="00553DD2"/>
    <w:rsid w:val="0055590A"/>
    <w:rsid w:val="0056156E"/>
    <w:rsid w:val="00566FC6"/>
    <w:rsid w:val="00573EF7"/>
    <w:rsid w:val="005769C8"/>
    <w:rsid w:val="00580A2A"/>
    <w:rsid w:val="00586833"/>
    <w:rsid w:val="00592B67"/>
    <w:rsid w:val="005A080B"/>
    <w:rsid w:val="005A328C"/>
    <w:rsid w:val="005A7D52"/>
    <w:rsid w:val="005B1F50"/>
    <w:rsid w:val="005B4DDE"/>
    <w:rsid w:val="005B5FC3"/>
    <w:rsid w:val="005B6671"/>
    <w:rsid w:val="005B7906"/>
    <w:rsid w:val="005C4BC3"/>
    <w:rsid w:val="005C55A0"/>
    <w:rsid w:val="005C57A4"/>
    <w:rsid w:val="005D599D"/>
    <w:rsid w:val="005D744C"/>
    <w:rsid w:val="005D79BD"/>
    <w:rsid w:val="005E1DBB"/>
    <w:rsid w:val="005E247B"/>
    <w:rsid w:val="005E3469"/>
    <w:rsid w:val="005E4147"/>
    <w:rsid w:val="005E79B9"/>
    <w:rsid w:val="005F13E6"/>
    <w:rsid w:val="005F2F3A"/>
    <w:rsid w:val="00600EA0"/>
    <w:rsid w:val="00601F30"/>
    <w:rsid w:val="0060483B"/>
    <w:rsid w:val="00615449"/>
    <w:rsid w:val="006175C3"/>
    <w:rsid w:val="00622E18"/>
    <w:rsid w:val="00626A4E"/>
    <w:rsid w:val="00627D95"/>
    <w:rsid w:val="006317E9"/>
    <w:rsid w:val="00632A43"/>
    <w:rsid w:val="00636A5B"/>
    <w:rsid w:val="00642EDA"/>
    <w:rsid w:val="00650B85"/>
    <w:rsid w:val="00653C20"/>
    <w:rsid w:val="00663A32"/>
    <w:rsid w:val="00667846"/>
    <w:rsid w:val="00667CA6"/>
    <w:rsid w:val="006700C7"/>
    <w:rsid w:val="006721EF"/>
    <w:rsid w:val="00673935"/>
    <w:rsid w:val="00683C41"/>
    <w:rsid w:val="00685B67"/>
    <w:rsid w:val="006875F6"/>
    <w:rsid w:val="00690547"/>
    <w:rsid w:val="00693A62"/>
    <w:rsid w:val="00697496"/>
    <w:rsid w:val="006A0A44"/>
    <w:rsid w:val="006A177A"/>
    <w:rsid w:val="006A2513"/>
    <w:rsid w:val="006A732D"/>
    <w:rsid w:val="006B2E42"/>
    <w:rsid w:val="006B6EFE"/>
    <w:rsid w:val="006C6FC4"/>
    <w:rsid w:val="006E290F"/>
    <w:rsid w:val="006E423A"/>
    <w:rsid w:val="006E52FD"/>
    <w:rsid w:val="006F18E7"/>
    <w:rsid w:val="006F22AB"/>
    <w:rsid w:val="006F39AC"/>
    <w:rsid w:val="006F4228"/>
    <w:rsid w:val="006F45FA"/>
    <w:rsid w:val="00704AC7"/>
    <w:rsid w:val="00706BC7"/>
    <w:rsid w:val="00706DDC"/>
    <w:rsid w:val="00706E05"/>
    <w:rsid w:val="00706F80"/>
    <w:rsid w:val="0071230F"/>
    <w:rsid w:val="00715F5C"/>
    <w:rsid w:val="00717C6B"/>
    <w:rsid w:val="00717EC9"/>
    <w:rsid w:val="00720432"/>
    <w:rsid w:val="007222BB"/>
    <w:rsid w:val="0072337E"/>
    <w:rsid w:val="00723871"/>
    <w:rsid w:val="00727B69"/>
    <w:rsid w:val="0073184A"/>
    <w:rsid w:val="00734090"/>
    <w:rsid w:val="007368E7"/>
    <w:rsid w:val="007405FA"/>
    <w:rsid w:val="007406D0"/>
    <w:rsid w:val="007432AE"/>
    <w:rsid w:val="0075159E"/>
    <w:rsid w:val="00755F92"/>
    <w:rsid w:val="007572DB"/>
    <w:rsid w:val="007638F0"/>
    <w:rsid w:val="00770E83"/>
    <w:rsid w:val="00772697"/>
    <w:rsid w:val="00772D1B"/>
    <w:rsid w:val="00776881"/>
    <w:rsid w:val="0078197F"/>
    <w:rsid w:val="00791014"/>
    <w:rsid w:val="00792B6A"/>
    <w:rsid w:val="00792CBA"/>
    <w:rsid w:val="007941E8"/>
    <w:rsid w:val="00797E3C"/>
    <w:rsid w:val="007A2CB4"/>
    <w:rsid w:val="007A3522"/>
    <w:rsid w:val="007A68A2"/>
    <w:rsid w:val="007A7628"/>
    <w:rsid w:val="007B56D4"/>
    <w:rsid w:val="007B654E"/>
    <w:rsid w:val="007C0924"/>
    <w:rsid w:val="007D0F98"/>
    <w:rsid w:val="007D270A"/>
    <w:rsid w:val="007D5A59"/>
    <w:rsid w:val="007D7304"/>
    <w:rsid w:val="007D753D"/>
    <w:rsid w:val="007E0C59"/>
    <w:rsid w:val="007E2AE5"/>
    <w:rsid w:val="007F06D9"/>
    <w:rsid w:val="007F223D"/>
    <w:rsid w:val="007F258E"/>
    <w:rsid w:val="007F2EE8"/>
    <w:rsid w:val="00802276"/>
    <w:rsid w:val="00803344"/>
    <w:rsid w:val="00804C62"/>
    <w:rsid w:val="00807D4E"/>
    <w:rsid w:val="00813198"/>
    <w:rsid w:val="0081387F"/>
    <w:rsid w:val="008171DE"/>
    <w:rsid w:val="00820B38"/>
    <w:rsid w:val="00821792"/>
    <w:rsid w:val="00822970"/>
    <w:rsid w:val="008242D9"/>
    <w:rsid w:val="00824E96"/>
    <w:rsid w:val="00825D6A"/>
    <w:rsid w:val="008273D9"/>
    <w:rsid w:val="00830271"/>
    <w:rsid w:val="00831639"/>
    <w:rsid w:val="0083354B"/>
    <w:rsid w:val="00835AD4"/>
    <w:rsid w:val="0084231B"/>
    <w:rsid w:val="00854B3A"/>
    <w:rsid w:val="00854F2A"/>
    <w:rsid w:val="008622F5"/>
    <w:rsid w:val="00871BA8"/>
    <w:rsid w:val="0088215E"/>
    <w:rsid w:val="008901BD"/>
    <w:rsid w:val="00894E33"/>
    <w:rsid w:val="008977AF"/>
    <w:rsid w:val="008A03BB"/>
    <w:rsid w:val="008A1CA8"/>
    <w:rsid w:val="008A2E42"/>
    <w:rsid w:val="008A2FC5"/>
    <w:rsid w:val="008A39D5"/>
    <w:rsid w:val="008A41E6"/>
    <w:rsid w:val="008A6BF2"/>
    <w:rsid w:val="008B1D4E"/>
    <w:rsid w:val="008B6A82"/>
    <w:rsid w:val="008B6CC8"/>
    <w:rsid w:val="008C308A"/>
    <w:rsid w:val="008D2E5B"/>
    <w:rsid w:val="008D5D54"/>
    <w:rsid w:val="008E12C9"/>
    <w:rsid w:val="008E154D"/>
    <w:rsid w:val="008E2C68"/>
    <w:rsid w:val="008E6844"/>
    <w:rsid w:val="008F103D"/>
    <w:rsid w:val="008F2A60"/>
    <w:rsid w:val="008F41D2"/>
    <w:rsid w:val="008F5389"/>
    <w:rsid w:val="00901461"/>
    <w:rsid w:val="00910119"/>
    <w:rsid w:val="009129CA"/>
    <w:rsid w:val="00917B36"/>
    <w:rsid w:val="009201D9"/>
    <w:rsid w:val="0092055F"/>
    <w:rsid w:val="00920DB3"/>
    <w:rsid w:val="009234F8"/>
    <w:rsid w:val="00926279"/>
    <w:rsid w:val="00926BF6"/>
    <w:rsid w:val="00930453"/>
    <w:rsid w:val="0093059C"/>
    <w:rsid w:val="00936D98"/>
    <w:rsid w:val="009421CE"/>
    <w:rsid w:val="00942B46"/>
    <w:rsid w:val="00945FEF"/>
    <w:rsid w:val="00946AC6"/>
    <w:rsid w:val="0095076A"/>
    <w:rsid w:val="00955D1B"/>
    <w:rsid w:val="00956DE5"/>
    <w:rsid w:val="009578C8"/>
    <w:rsid w:val="00964B4D"/>
    <w:rsid w:val="00972061"/>
    <w:rsid w:val="009750F7"/>
    <w:rsid w:val="00976BD9"/>
    <w:rsid w:val="00976FCE"/>
    <w:rsid w:val="00981AF3"/>
    <w:rsid w:val="009854A3"/>
    <w:rsid w:val="00985C04"/>
    <w:rsid w:val="00992B45"/>
    <w:rsid w:val="0099320E"/>
    <w:rsid w:val="00994D79"/>
    <w:rsid w:val="00995FC1"/>
    <w:rsid w:val="009A20BC"/>
    <w:rsid w:val="009B0B41"/>
    <w:rsid w:val="009B1F09"/>
    <w:rsid w:val="009B2FE0"/>
    <w:rsid w:val="009C2ECF"/>
    <w:rsid w:val="009C3B90"/>
    <w:rsid w:val="009C565D"/>
    <w:rsid w:val="009D15DD"/>
    <w:rsid w:val="009D1605"/>
    <w:rsid w:val="009D5167"/>
    <w:rsid w:val="009E0ACE"/>
    <w:rsid w:val="009E3160"/>
    <w:rsid w:val="009E4B4B"/>
    <w:rsid w:val="009F0FF5"/>
    <w:rsid w:val="009F5148"/>
    <w:rsid w:val="009F54B4"/>
    <w:rsid w:val="009F6C09"/>
    <w:rsid w:val="00A008BD"/>
    <w:rsid w:val="00A0244A"/>
    <w:rsid w:val="00A053D6"/>
    <w:rsid w:val="00A107B8"/>
    <w:rsid w:val="00A1105F"/>
    <w:rsid w:val="00A1215F"/>
    <w:rsid w:val="00A13666"/>
    <w:rsid w:val="00A150AE"/>
    <w:rsid w:val="00A16ACA"/>
    <w:rsid w:val="00A35591"/>
    <w:rsid w:val="00A36957"/>
    <w:rsid w:val="00A424B8"/>
    <w:rsid w:val="00A45D5E"/>
    <w:rsid w:val="00A45DEC"/>
    <w:rsid w:val="00A52AAD"/>
    <w:rsid w:val="00A533FB"/>
    <w:rsid w:val="00A54BE7"/>
    <w:rsid w:val="00A604FA"/>
    <w:rsid w:val="00A61A0F"/>
    <w:rsid w:val="00A642E9"/>
    <w:rsid w:val="00A70307"/>
    <w:rsid w:val="00A739EF"/>
    <w:rsid w:val="00A74903"/>
    <w:rsid w:val="00A75CF4"/>
    <w:rsid w:val="00A8121A"/>
    <w:rsid w:val="00A86647"/>
    <w:rsid w:val="00A93074"/>
    <w:rsid w:val="00A942B9"/>
    <w:rsid w:val="00A96E25"/>
    <w:rsid w:val="00AA3BF2"/>
    <w:rsid w:val="00AB0A36"/>
    <w:rsid w:val="00AC18C7"/>
    <w:rsid w:val="00AC222D"/>
    <w:rsid w:val="00AC47FA"/>
    <w:rsid w:val="00AC49D9"/>
    <w:rsid w:val="00AC5C41"/>
    <w:rsid w:val="00AC5F07"/>
    <w:rsid w:val="00AC7F55"/>
    <w:rsid w:val="00AD077F"/>
    <w:rsid w:val="00AD2802"/>
    <w:rsid w:val="00AD4282"/>
    <w:rsid w:val="00AD5569"/>
    <w:rsid w:val="00AD5BBF"/>
    <w:rsid w:val="00AE06B4"/>
    <w:rsid w:val="00AE13BE"/>
    <w:rsid w:val="00AE1B4A"/>
    <w:rsid w:val="00AE79F5"/>
    <w:rsid w:val="00AF20E0"/>
    <w:rsid w:val="00AF38A2"/>
    <w:rsid w:val="00B0007B"/>
    <w:rsid w:val="00B00EA3"/>
    <w:rsid w:val="00B047FB"/>
    <w:rsid w:val="00B049D7"/>
    <w:rsid w:val="00B0686C"/>
    <w:rsid w:val="00B06929"/>
    <w:rsid w:val="00B129EB"/>
    <w:rsid w:val="00B12AAC"/>
    <w:rsid w:val="00B16ADB"/>
    <w:rsid w:val="00B2137D"/>
    <w:rsid w:val="00B219C6"/>
    <w:rsid w:val="00B23889"/>
    <w:rsid w:val="00B271E5"/>
    <w:rsid w:val="00B31079"/>
    <w:rsid w:val="00B33DC7"/>
    <w:rsid w:val="00B349E0"/>
    <w:rsid w:val="00B35152"/>
    <w:rsid w:val="00B36A67"/>
    <w:rsid w:val="00B37AD9"/>
    <w:rsid w:val="00B41699"/>
    <w:rsid w:val="00B42ACA"/>
    <w:rsid w:val="00B5130F"/>
    <w:rsid w:val="00B53BA5"/>
    <w:rsid w:val="00B6186D"/>
    <w:rsid w:val="00B619A9"/>
    <w:rsid w:val="00B6372E"/>
    <w:rsid w:val="00B64D9F"/>
    <w:rsid w:val="00B776F7"/>
    <w:rsid w:val="00B80E3D"/>
    <w:rsid w:val="00B818E6"/>
    <w:rsid w:val="00B90469"/>
    <w:rsid w:val="00B95149"/>
    <w:rsid w:val="00B96E0F"/>
    <w:rsid w:val="00BA55BB"/>
    <w:rsid w:val="00BB2069"/>
    <w:rsid w:val="00BB240B"/>
    <w:rsid w:val="00BB2414"/>
    <w:rsid w:val="00BB5146"/>
    <w:rsid w:val="00BC2842"/>
    <w:rsid w:val="00BD0372"/>
    <w:rsid w:val="00BD1EB1"/>
    <w:rsid w:val="00BD4FCC"/>
    <w:rsid w:val="00BD66DE"/>
    <w:rsid w:val="00BE1047"/>
    <w:rsid w:val="00BE69BE"/>
    <w:rsid w:val="00BF0BB7"/>
    <w:rsid w:val="00C006C9"/>
    <w:rsid w:val="00C022BA"/>
    <w:rsid w:val="00C027A7"/>
    <w:rsid w:val="00C041FA"/>
    <w:rsid w:val="00C046F0"/>
    <w:rsid w:val="00C04D51"/>
    <w:rsid w:val="00C05337"/>
    <w:rsid w:val="00C061C2"/>
    <w:rsid w:val="00C07FCB"/>
    <w:rsid w:val="00C10159"/>
    <w:rsid w:val="00C11A8C"/>
    <w:rsid w:val="00C11E49"/>
    <w:rsid w:val="00C20B3B"/>
    <w:rsid w:val="00C220AF"/>
    <w:rsid w:val="00C225F8"/>
    <w:rsid w:val="00C238E8"/>
    <w:rsid w:val="00C252E6"/>
    <w:rsid w:val="00C3403D"/>
    <w:rsid w:val="00C34125"/>
    <w:rsid w:val="00C3486D"/>
    <w:rsid w:val="00C34891"/>
    <w:rsid w:val="00C34CC6"/>
    <w:rsid w:val="00C36675"/>
    <w:rsid w:val="00C367B2"/>
    <w:rsid w:val="00C51264"/>
    <w:rsid w:val="00C572EB"/>
    <w:rsid w:val="00C62FEC"/>
    <w:rsid w:val="00C63B40"/>
    <w:rsid w:val="00C72C19"/>
    <w:rsid w:val="00C81133"/>
    <w:rsid w:val="00C81B96"/>
    <w:rsid w:val="00C83743"/>
    <w:rsid w:val="00C86F5E"/>
    <w:rsid w:val="00C918DE"/>
    <w:rsid w:val="00C94547"/>
    <w:rsid w:val="00C97A4C"/>
    <w:rsid w:val="00CC21D8"/>
    <w:rsid w:val="00CC5ABA"/>
    <w:rsid w:val="00CC7F82"/>
    <w:rsid w:val="00CD08F0"/>
    <w:rsid w:val="00CD2014"/>
    <w:rsid w:val="00CD2442"/>
    <w:rsid w:val="00CD3D31"/>
    <w:rsid w:val="00CD4694"/>
    <w:rsid w:val="00CE0148"/>
    <w:rsid w:val="00CE2B1E"/>
    <w:rsid w:val="00CE2CC6"/>
    <w:rsid w:val="00CE3754"/>
    <w:rsid w:val="00CF35C7"/>
    <w:rsid w:val="00CF6768"/>
    <w:rsid w:val="00D00E39"/>
    <w:rsid w:val="00D03FF6"/>
    <w:rsid w:val="00D06807"/>
    <w:rsid w:val="00D07263"/>
    <w:rsid w:val="00D15D74"/>
    <w:rsid w:val="00D15FF8"/>
    <w:rsid w:val="00D2181E"/>
    <w:rsid w:val="00D31D55"/>
    <w:rsid w:val="00D41899"/>
    <w:rsid w:val="00D42CA0"/>
    <w:rsid w:val="00D43BDC"/>
    <w:rsid w:val="00D47844"/>
    <w:rsid w:val="00D51056"/>
    <w:rsid w:val="00D52FEE"/>
    <w:rsid w:val="00D562E1"/>
    <w:rsid w:val="00D61D54"/>
    <w:rsid w:val="00D62E38"/>
    <w:rsid w:val="00D6470E"/>
    <w:rsid w:val="00D64B21"/>
    <w:rsid w:val="00D661E6"/>
    <w:rsid w:val="00D6785A"/>
    <w:rsid w:val="00D71C87"/>
    <w:rsid w:val="00D7639C"/>
    <w:rsid w:val="00D83C1A"/>
    <w:rsid w:val="00D8423F"/>
    <w:rsid w:val="00D85114"/>
    <w:rsid w:val="00D8544C"/>
    <w:rsid w:val="00D85A27"/>
    <w:rsid w:val="00D914EC"/>
    <w:rsid w:val="00D92BCB"/>
    <w:rsid w:val="00D93F64"/>
    <w:rsid w:val="00D96BE2"/>
    <w:rsid w:val="00D9739E"/>
    <w:rsid w:val="00DA7640"/>
    <w:rsid w:val="00DB2EF6"/>
    <w:rsid w:val="00DB30C1"/>
    <w:rsid w:val="00DB3F7B"/>
    <w:rsid w:val="00DB56D8"/>
    <w:rsid w:val="00DC0AC4"/>
    <w:rsid w:val="00DC15F8"/>
    <w:rsid w:val="00DC32A4"/>
    <w:rsid w:val="00DC7276"/>
    <w:rsid w:val="00DD1F2C"/>
    <w:rsid w:val="00DD2F63"/>
    <w:rsid w:val="00DD7A9D"/>
    <w:rsid w:val="00DE3564"/>
    <w:rsid w:val="00DE4E53"/>
    <w:rsid w:val="00DE4FED"/>
    <w:rsid w:val="00DE5A44"/>
    <w:rsid w:val="00DE6D63"/>
    <w:rsid w:val="00DF20F6"/>
    <w:rsid w:val="00DF502D"/>
    <w:rsid w:val="00E05765"/>
    <w:rsid w:val="00E06A51"/>
    <w:rsid w:val="00E15331"/>
    <w:rsid w:val="00E2236C"/>
    <w:rsid w:val="00E24098"/>
    <w:rsid w:val="00E26CBA"/>
    <w:rsid w:val="00E27036"/>
    <w:rsid w:val="00E2733B"/>
    <w:rsid w:val="00E32C89"/>
    <w:rsid w:val="00E41486"/>
    <w:rsid w:val="00E43DFF"/>
    <w:rsid w:val="00E44EF5"/>
    <w:rsid w:val="00E451D4"/>
    <w:rsid w:val="00E46DEF"/>
    <w:rsid w:val="00E55210"/>
    <w:rsid w:val="00E56D2D"/>
    <w:rsid w:val="00E61EC2"/>
    <w:rsid w:val="00E623A0"/>
    <w:rsid w:val="00E635D9"/>
    <w:rsid w:val="00E65433"/>
    <w:rsid w:val="00E72629"/>
    <w:rsid w:val="00E75786"/>
    <w:rsid w:val="00E76EED"/>
    <w:rsid w:val="00E77AD8"/>
    <w:rsid w:val="00E85926"/>
    <w:rsid w:val="00E87AE3"/>
    <w:rsid w:val="00E916FC"/>
    <w:rsid w:val="00E945FC"/>
    <w:rsid w:val="00E97976"/>
    <w:rsid w:val="00EA71D3"/>
    <w:rsid w:val="00EA76C7"/>
    <w:rsid w:val="00EB4F20"/>
    <w:rsid w:val="00EB6168"/>
    <w:rsid w:val="00EC07B1"/>
    <w:rsid w:val="00ED0277"/>
    <w:rsid w:val="00ED090A"/>
    <w:rsid w:val="00ED42F4"/>
    <w:rsid w:val="00EE4203"/>
    <w:rsid w:val="00EF0BE1"/>
    <w:rsid w:val="00EF3705"/>
    <w:rsid w:val="00EF4FFD"/>
    <w:rsid w:val="00EF6CDF"/>
    <w:rsid w:val="00EF6D20"/>
    <w:rsid w:val="00F024F2"/>
    <w:rsid w:val="00F02DB8"/>
    <w:rsid w:val="00F0391B"/>
    <w:rsid w:val="00F0481F"/>
    <w:rsid w:val="00F12B56"/>
    <w:rsid w:val="00F1597D"/>
    <w:rsid w:val="00F15F02"/>
    <w:rsid w:val="00F23305"/>
    <w:rsid w:val="00F32B6A"/>
    <w:rsid w:val="00F379D3"/>
    <w:rsid w:val="00F47F8D"/>
    <w:rsid w:val="00F50BFB"/>
    <w:rsid w:val="00F5110C"/>
    <w:rsid w:val="00F5110E"/>
    <w:rsid w:val="00F5375C"/>
    <w:rsid w:val="00F53954"/>
    <w:rsid w:val="00F548A1"/>
    <w:rsid w:val="00F54A5F"/>
    <w:rsid w:val="00F567DC"/>
    <w:rsid w:val="00F56A34"/>
    <w:rsid w:val="00F57F5A"/>
    <w:rsid w:val="00F60230"/>
    <w:rsid w:val="00F60251"/>
    <w:rsid w:val="00F62136"/>
    <w:rsid w:val="00F64270"/>
    <w:rsid w:val="00F64FBC"/>
    <w:rsid w:val="00F65C93"/>
    <w:rsid w:val="00F6771A"/>
    <w:rsid w:val="00F70E68"/>
    <w:rsid w:val="00F74EF4"/>
    <w:rsid w:val="00F75686"/>
    <w:rsid w:val="00F7596B"/>
    <w:rsid w:val="00F75FD1"/>
    <w:rsid w:val="00F7615E"/>
    <w:rsid w:val="00F77329"/>
    <w:rsid w:val="00F83C02"/>
    <w:rsid w:val="00F85118"/>
    <w:rsid w:val="00F85171"/>
    <w:rsid w:val="00F902CD"/>
    <w:rsid w:val="00F905C4"/>
    <w:rsid w:val="00F90BF7"/>
    <w:rsid w:val="00F957AF"/>
    <w:rsid w:val="00FB2798"/>
    <w:rsid w:val="00FB2ECD"/>
    <w:rsid w:val="00FC45E8"/>
    <w:rsid w:val="00FC7258"/>
    <w:rsid w:val="00FD05C3"/>
    <w:rsid w:val="00FD1939"/>
    <w:rsid w:val="00FD1CC8"/>
    <w:rsid w:val="00FD3D5F"/>
    <w:rsid w:val="00FD4AE5"/>
    <w:rsid w:val="00FD4D71"/>
    <w:rsid w:val="00FE352D"/>
    <w:rsid w:val="00FE3F13"/>
    <w:rsid w:val="00FE5A23"/>
    <w:rsid w:val="00FF0033"/>
    <w:rsid w:val="00FF0496"/>
    <w:rsid w:val="00FF1FCF"/>
    <w:rsid w:val="00FF33E7"/>
    <w:rsid w:val="00FF62D9"/>
    <w:rsid w:val="00FF67AB"/>
    <w:rsid w:val="00FF6946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60EA0216"/>
  <w15:docId w15:val="{9E0190B8-5B06-4C70-ADEB-B2B66914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A5B"/>
  </w:style>
  <w:style w:type="paragraph" w:styleId="2">
    <w:name w:val="heading 2"/>
    <w:basedOn w:val="a"/>
    <w:next w:val="a"/>
    <w:link w:val="20"/>
    <w:qFormat/>
    <w:rsid w:val="004A47F7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A47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0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pt0pt">
    <w:name w:val="Основной текст + 10 pt;Интервал 0 pt"/>
    <w:basedOn w:val="a0"/>
    <w:rsid w:val="008242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3">
    <w:name w:val="Основной текст_"/>
    <w:basedOn w:val="a0"/>
    <w:link w:val="41"/>
    <w:rsid w:val="008242D9"/>
    <w:rPr>
      <w:b/>
      <w:bCs/>
      <w:spacing w:val="5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8242D9"/>
    <w:rPr>
      <w:b/>
      <w:bCs/>
      <w:color w:val="000000"/>
      <w:spacing w:val="5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link w:val="a3"/>
    <w:rsid w:val="008242D9"/>
    <w:pPr>
      <w:widowControl w:val="0"/>
      <w:shd w:val="clear" w:color="auto" w:fill="FFFFFF"/>
      <w:spacing w:after="300" w:line="322" w:lineRule="exact"/>
      <w:ind w:hanging="560"/>
    </w:pPr>
    <w:rPr>
      <w:b/>
      <w:bCs/>
      <w:spacing w:val="5"/>
      <w:sz w:val="23"/>
      <w:szCs w:val="23"/>
    </w:rPr>
  </w:style>
  <w:style w:type="character" w:customStyle="1" w:styleId="10pt">
    <w:name w:val="Основной текст + 10 pt"/>
    <w:aliases w:val="Интервал 0 pt,Основной текст + Arial Narrow,9 pt"/>
    <w:basedOn w:val="a0"/>
    <w:rsid w:val="008242D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unhideWhenUsed/>
    <w:rsid w:val="0082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242D9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820B38"/>
    <w:rPr>
      <w:color w:val="0000FF"/>
      <w:u w:val="single"/>
    </w:rPr>
  </w:style>
  <w:style w:type="character" w:customStyle="1" w:styleId="ArialNarrow9pt0pt">
    <w:name w:val="Основной текст + Arial Narrow;9 pt;Интервал 0 pt"/>
    <w:basedOn w:val="a3"/>
    <w:rsid w:val="00820B3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Не полужирный;Интервал 0 pt"/>
    <w:basedOn w:val="a3"/>
    <w:rsid w:val="00820B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5pt0pt0">
    <w:name w:val="Основной текст + 9;5 pt;Интервал 0 pt"/>
    <w:basedOn w:val="a3"/>
    <w:rsid w:val="00820B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Не полужирный;Интервал 0 pt"/>
    <w:basedOn w:val="a3"/>
    <w:rsid w:val="00820B3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415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8F5389"/>
    <w:pPr>
      <w:ind w:left="720"/>
      <w:contextualSpacing/>
    </w:pPr>
  </w:style>
  <w:style w:type="paragraph" w:customStyle="1" w:styleId="Default">
    <w:name w:val="Default"/>
    <w:rsid w:val="00516D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4A47F7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A47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ody Text"/>
    <w:basedOn w:val="a"/>
    <w:link w:val="a9"/>
    <w:uiPriority w:val="99"/>
    <w:rsid w:val="004A47F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4A47F7"/>
    <w:rPr>
      <w:rFonts w:ascii="Times New Roman" w:eastAsia="Calibri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4A47F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4A47F7"/>
    <w:rPr>
      <w:rFonts w:ascii="Times New Roman" w:eastAsia="Calibri" w:hAnsi="Times New Roman" w:cs="Times New Roman"/>
      <w:sz w:val="24"/>
      <w:szCs w:val="24"/>
    </w:rPr>
  </w:style>
  <w:style w:type="paragraph" w:styleId="aa">
    <w:name w:val="No Spacing"/>
    <w:link w:val="ab"/>
    <w:qFormat/>
    <w:rsid w:val="00A96E25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A96E25"/>
  </w:style>
  <w:style w:type="table" w:styleId="ac">
    <w:name w:val="Table Grid"/>
    <w:basedOn w:val="a1"/>
    <w:uiPriority w:val="59"/>
    <w:rsid w:val="003B0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er">
    <w:name w:val="bolder"/>
    <w:basedOn w:val="a0"/>
    <w:rsid w:val="003B049A"/>
  </w:style>
  <w:style w:type="character" w:customStyle="1" w:styleId="company-infotext">
    <w:name w:val="company-info__text"/>
    <w:basedOn w:val="a0"/>
    <w:rsid w:val="003B049A"/>
  </w:style>
  <w:style w:type="character" w:customStyle="1" w:styleId="ad">
    <w:name w:val="Другое_"/>
    <w:basedOn w:val="a0"/>
    <w:link w:val="ae"/>
    <w:rsid w:val="009421C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e">
    <w:name w:val="Другое"/>
    <w:basedOn w:val="a"/>
    <w:link w:val="ad"/>
    <w:rsid w:val="009421CE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8F10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rganictextcontentspan">
    <w:name w:val="organictextcontentspan"/>
    <w:basedOn w:val="a0"/>
    <w:rsid w:val="00DC0AC4"/>
  </w:style>
  <w:style w:type="paragraph" w:styleId="af">
    <w:name w:val="footnote text"/>
    <w:basedOn w:val="a"/>
    <w:link w:val="af0"/>
    <w:uiPriority w:val="99"/>
    <w:semiHidden/>
    <w:unhideWhenUsed/>
    <w:rsid w:val="00E44EF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44EF5"/>
    <w:rPr>
      <w:sz w:val="20"/>
      <w:szCs w:val="20"/>
    </w:rPr>
  </w:style>
  <w:style w:type="character" w:styleId="af1">
    <w:name w:val="footnote reference"/>
    <w:uiPriority w:val="99"/>
    <w:rsid w:val="00E44EF5"/>
    <w:rPr>
      <w:vertAlign w:val="superscript"/>
    </w:rPr>
  </w:style>
  <w:style w:type="character" w:customStyle="1" w:styleId="es-el-code-term">
    <w:name w:val="es-el-code-term"/>
    <w:rsid w:val="00A86647"/>
  </w:style>
  <w:style w:type="paragraph" w:styleId="af2">
    <w:name w:val="header"/>
    <w:basedOn w:val="a"/>
    <w:link w:val="af3"/>
    <w:uiPriority w:val="99"/>
    <w:unhideWhenUsed/>
    <w:rsid w:val="007B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B56D4"/>
  </w:style>
  <w:style w:type="paragraph" w:styleId="af4">
    <w:name w:val="footer"/>
    <w:basedOn w:val="a"/>
    <w:link w:val="af5"/>
    <w:uiPriority w:val="99"/>
    <w:semiHidden/>
    <w:unhideWhenUsed/>
    <w:rsid w:val="007B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7B5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codes/1430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AB3A11107FCE11D5CC9E5E6A47D4302EF99401848B2185CDB861E0165EC04BEF50125D110A984F25777B9BFF1JDw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E9A73-8E4E-41E2-B32A-9E884A73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6196</Words>
  <Characters>35319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41433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  </cp:lastModifiedBy>
  <cp:revision>3</cp:revision>
  <cp:lastPrinted>2026-04-21T11:15:00Z</cp:lastPrinted>
  <dcterms:created xsi:type="dcterms:W3CDTF">2026-07-16T07:54:00Z</dcterms:created>
  <dcterms:modified xsi:type="dcterms:W3CDTF">2026-07-16T12:54:00Z</dcterms:modified>
</cp:coreProperties>
</file>