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D3" w:rsidRPr="00C041FA" w:rsidRDefault="00EA71D3" w:rsidP="00EA71D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E9" w:rsidRPr="00C041FA" w:rsidRDefault="00A642E9" w:rsidP="0077688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1FA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:rsidR="00282289" w:rsidRPr="00C041FA" w:rsidRDefault="00A642E9" w:rsidP="00EA71D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1FA">
        <w:rPr>
          <w:rFonts w:ascii="Times New Roman" w:hAnsi="Times New Roman" w:cs="Times New Roman"/>
          <w:b/>
          <w:bCs/>
          <w:sz w:val="24"/>
          <w:szCs w:val="24"/>
        </w:rPr>
        <w:t>о развитии конкуренции в муниципальном образовании</w:t>
      </w:r>
      <w:r w:rsidR="00282289" w:rsidRPr="00C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B38" w:rsidRPr="00C041FA" w:rsidRDefault="00A642E9" w:rsidP="0077688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1FA">
        <w:rPr>
          <w:rFonts w:ascii="Times New Roman" w:hAnsi="Times New Roman" w:cs="Times New Roman"/>
          <w:b/>
          <w:bCs/>
          <w:sz w:val="24"/>
          <w:szCs w:val="24"/>
        </w:rPr>
        <w:t xml:space="preserve">Сосновоборский городской округ </w:t>
      </w:r>
    </w:p>
    <w:p w:rsidR="00A642E9" w:rsidRPr="00C041FA" w:rsidRDefault="00A642E9" w:rsidP="0077688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041F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282289" w:rsidRPr="00C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1F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81133" w:rsidRPr="00C041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4C43" w:rsidRPr="00C041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41F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E6844" w:rsidRPr="00C041FA" w:rsidRDefault="008E6844" w:rsidP="0077688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89" w:rsidRPr="00C041FA" w:rsidRDefault="008F5389" w:rsidP="000B76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07.05.2012 года № 601 «Об основных направлениях совершенствования системы государственного управления», Указа Президента Российской Федерации от 21.12.2017 года № 618 «Об основных направлениях государственной политики по развитию конкуренции» и в целях внедрения Стандарта развития конкуренции в субъектах Российской Федерации, утвержденного распоряжением Правительства Российской Федерации № 768-р от 17.04.2019 (далее – Стандарт развития конкуренции), администрацией </w:t>
      </w:r>
      <w:proofErr w:type="spellStart"/>
      <w:r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proofErr w:type="gramEnd"/>
      <w:r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 ряд мероприятий, направленных на организацию работы по развитию конкуренции на территории </w:t>
      </w:r>
      <w:proofErr w:type="spellStart"/>
      <w:r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8F5389" w:rsidRPr="00C041FA" w:rsidRDefault="008F5389" w:rsidP="000B7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1.</w:t>
      </w:r>
      <w:r w:rsidR="00667CA6" w:rsidRPr="00C041FA">
        <w:rPr>
          <w:rFonts w:ascii="Times New Roman" w:hAnsi="Times New Roman" w:cs="Times New Roman"/>
          <w:sz w:val="24"/>
          <w:szCs w:val="24"/>
        </w:rPr>
        <w:t xml:space="preserve"> П</w:t>
      </w:r>
      <w:r w:rsidRPr="00C041FA">
        <w:rPr>
          <w:rFonts w:ascii="Times New Roman" w:hAnsi="Times New Roman" w:cs="Times New Roman"/>
          <w:sz w:val="24"/>
          <w:szCs w:val="24"/>
        </w:rPr>
        <w:t xml:space="preserve">одписано соглашение между Комитетом экономического развития и инвестиционной деятельности Ленинградской области и Администрацией </w:t>
      </w:r>
      <w:proofErr w:type="spellStart"/>
      <w:r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C041FA">
        <w:rPr>
          <w:rFonts w:ascii="Times New Roman" w:hAnsi="Times New Roman" w:cs="Times New Roman"/>
          <w:sz w:val="24"/>
          <w:szCs w:val="24"/>
        </w:rPr>
        <w:t>Ленинградской области о внедрении Стандарта развития конкуренции в Ленинградской области</w:t>
      </w:r>
      <w:r w:rsidR="00667CA6" w:rsidRPr="00C041FA">
        <w:rPr>
          <w:rFonts w:ascii="Times New Roman" w:hAnsi="Times New Roman" w:cs="Times New Roman"/>
          <w:sz w:val="24"/>
          <w:szCs w:val="24"/>
        </w:rPr>
        <w:t xml:space="preserve"> 21 декабря 2020 года</w:t>
      </w:r>
      <w:r w:rsidRPr="00C041FA">
        <w:rPr>
          <w:rFonts w:ascii="Times New Roman" w:hAnsi="Times New Roman" w:cs="Times New Roman"/>
          <w:sz w:val="24"/>
          <w:szCs w:val="24"/>
        </w:rPr>
        <w:t>.</w:t>
      </w:r>
    </w:p>
    <w:p w:rsidR="00667CA6" w:rsidRPr="00C041FA" w:rsidRDefault="00281E79" w:rsidP="000B7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2.</w:t>
      </w:r>
      <w:r w:rsidR="00667CA6" w:rsidRPr="00C04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389" w:rsidRPr="00C041FA">
        <w:rPr>
          <w:rFonts w:ascii="Times New Roman" w:hAnsi="Times New Roman" w:cs="Times New Roman"/>
          <w:sz w:val="24"/>
          <w:szCs w:val="24"/>
        </w:rPr>
        <w:t xml:space="preserve">Определен уполномоченный орган по содействию развитию конкуренции на территории </w:t>
      </w:r>
      <w:proofErr w:type="spellStart"/>
      <w:r w:rsidR="008F5389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="008F5389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– отдел экономического развития администрации </w:t>
      </w:r>
      <w:proofErr w:type="spellStart"/>
      <w:r w:rsidR="008F5389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="008F5389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8F5389" w:rsidRPr="00C041FA">
        <w:rPr>
          <w:rFonts w:ascii="Times New Roman" w:hAnsi="Times New Roman" w:cs="Times New Roman"/>
          <w:sz w:val="24"/>
          <w:szCs w:val="24"/>
        </w:rPr>
        <w:t>(</w:t>
      </w:r>
      <w:r w:rsidR="008F5389" w:rsidRPr="00C041FA">
        <w:rPr>
          <w:rFonts w:ascii="Times New Roman" w:hAnsi="Times New Roman" w:cs="Times New Roman"/>
          <w:spacing w:val="20"/>
          <w:sz w:val="24"/>
          <w:szCs w:val="24"/>
        </w:rPr>
        <w:t>Распоряжение</w:t>
      </w:r>
      <w:r w:rsidR="008F5389" w:rsidRPr="00C041F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F5389" w:rsidRPr="00C041FA">
        <w:rPr>
          <w:rFonts w:ascii="Times New Roman" w:hAnsi="Times New Roman" w:cs="Times New Roman"/>
          <w:sz w:val="24"/>
          <w:szCs w:val="24"/>
        </w:rPr>
        <w:t>от 02/08/2019</w:t>
      </w:r>
      <w:proofErr w:type="gramEnd"/>
      <w:r w:rsidR="008F5389" w:rsidRPr="00C041F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8F5389" w:rsidRPr="00C041FA">
        <w:rPr>
          <w:rFonts w:ascii="Times New Roman" w:hAnsi="Times New Roman" w:cs="Times New Roman"/>
          <w:sz w:val="24"/>
          <w:szCs w:val="24"/>
        </w:rPr>
        <w:t>349-р «О внесении изменений в Перечень приоритетных рынков товаров и услуг и План мероприятий («дорожная карта») по содействию развитию конкуренции на территории муниципального образования Сосновоборский городской округ Ленинградской области на период 2019-2022 годы»)</w:t>
      </w:r>
      <w:r w:rsidR="007A2CB4" w:rsidRPr="00C041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CA6" w:rsidRPr="00C041FA" w:rsidRDefault="00281E79" w:rsidP="000B7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3</w:t>
      </w:r>
      <w:r w:rsidR="00E2733B" w:rsidRPr="00C041FA">
        <w:rPr>
          <w:rFonts w:ascii="Times New Roman" w:hAnsi="Times New Roman" w:cs="Times New Roman"/>
          <w:sz w:val="24"/>
          <w:szCs w:val="24"/>
        </w:rPr>
        <w:t>.</w:t>
      </w:r>
      <w:r w:rsidR="00667CA6"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="007D270A" w:rsidRPr="00C041F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2733B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="00E2733B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от </w:t>
      </w:r>
      <w:r w:rsidR="007D270A" w:rsidRPr="00C041FA">
        <w:rPr>
          <w:rFonts w:ascii="Times New Roman" w:hAnsi="Times New Roman" w:cs="Times New Roman"/>
          <w:sz w:val="24"/>
          <w:szCs w:val="24"/>
        </w:rPr>
        <w:t>25</w:t>
      </w:r>
      <w:r w:rsidR="008F5389" w:rsidRPr="00C041FA">
        <w:rPr>
          <w:rFonts w:ascii="Times New Roman" w:hAnsi="Times New Roman" w:cs="Times New Roman"/>
          <w:sz w:val="24"/>
          <w:szCs w:val="24"/>
        </w:rPr>
        <w:t>.0</w:t>
      </w:r>
      <w:r w:rsidR="007D270A" w:rsidRPr="00C041FA">
        <w:rPr>
          <w:rFonts w:ascii="Times New Roman" w:hAnsi="Times New Roman" w:cs="Times New Roman"/>
          <w:sz w:val="24"/>
          <w:szCs w:val="24"/>
        </w:rPr>
        <w:t>1</w:t>
      </w:r>
      <w:r w:rsidR="008F5389" w:rsidRPr="00C041FA">
        <w:rPr>
          <w:rFonts w:ascii="Times New Roman" w:hAnsi="Times New Roman" w:cs="Times New Roman"/>
          <w:sz w:val="24"/>
          <w:szCs w:val="24"/>
        </w:rPr>
        <w:t>.20</w:t>
      </w:r>
      <w:r w:rsidR="007D270A" w:rsidRPr="00C041FA">
        <w:rPr>
          <w:rFonts w:ascii="Times New Roman" w:hAnsi="Times New Roman" w:cs="Times New Roman"/>
          <w:sz w:val="24"/>
          <w:szCs w:val="24"/>
        </w:rPr>
        <w:t>22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 №</w:t>
      </w:r>
      <w:r w:rsidR="00E2733B" w:rsidRPr="00C041FA">
        <w:rPr>
          <w:rFonts w:ascii="Times New Roman" w:hAnsi="Times New Roman" w:cs="Times New Roman"/>
          <w:sz w:val="24"/>
          <w:szCs w:val="24"/>
        </w:rPr>
        <w:t>21-р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 утверждены Перечень товарных рынков для содействия развитию конкуренции в </w:t>
      </w:r>
      <w:r w:rsidR="007A2CB4" w:rsidRPr="00C041FA">
        <w:rPr>
          <w:rFonts w:ascii="Times New Roman" w:hAnsi="Times New Roman" w:cs="Times New Roman"/>
          <w:sz w:val="24"/>
          <w:szCs w:val="24"/>
        </w:rPr>
        <w:t>Сосновоборском городском округе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 и План мероприятий («дорожная карта») по содействию развитию конкуренции на рынках товаров, работ и услуг </w:t>
      </w:r>
      <w:proofErr w:type="spellStart"/>
      <w:r w:rsidR="007A2CB4"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7A2CB4"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="007A2CB4" w:rsidRPr="00C041FA">
        <w:rPr>
          <w:rFonts w:ascii="Times New Roman" w:hAnsi="Times New Roman" w:cs="Times New Roman"/>
          <w:sz w:val="24"/>
          <w:szCs w:val="24"/>
        </w:rPr>
        <w:t>на период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 20</w:t>
      </w:r>
      <w:r w:rsidR="007D270A" w:rsidRPr="00C041FA">
        <w:rPr>
          <w:rFonts w:ascii="Times New Roman" w:hAnsi="Times New Roman" w:cs="Times New Roman"/>
          <w:sz w:val="24"/>
          <w:szCs w:val="24"/>
        </w:rPr>
        <w:t>22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 - 202</w:t>
      </w:r>
      <w:r w:rsidR="007D270A" w:rsidRPr="00C041FA">
        <w:rPr>
          <w:rFonts w:ascii="Times New Roman" w:hAnsi="Times New Roman" w:cs="Times New Roman"/>
          <w:sz w:val="24"/>
          <w:szCs w:val="24"/>
        </w:rPr>
        <w:t>5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 год</w:t>
      </w:r>
      <w:r w:rsidR="007A2CB4" w:rsidRPr="00C041FA">
        <w:rPr>
          <w:rFonts w:ascii="Times New Roman" w:hAnsi="Times New Roman" w:cs="Times New Roman"/>
          <w:sz w:val="24"/>
          <w:szCs w:val="24"/>
        </w:rPr>
        <w:t>ы</w:t>
      </w:r>
      <w:r w:rsidR="008F5389" w:rsidRPr="00C041FA">
        <w:rPr>
          <w:rFonts w:ascii="Times New Roman" w:hAnsi="Times New Roman" w:cs="Times New Roman"/>
          <w:sz w:val="24"/>
          <w:szCs w:val="24"/>
        </w:rPr>
        <w:t>.</w:t>
      </w:r>
    </w:p>
    <w:p w:rsidR="008F5389" w:rsidRPr="00C041FA" w:rsidRDefault="00281E79" w:rsidP="000B7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4.</w:t>
      </w:r>
      <w:r w:rsidR="00667CA6"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Общая информация по развитию конкуренции на территории </w:t>
      </w:r>
      <w:proofErr w:type="spellStart"/>
      <w:r w:rsidR="00930453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="00930453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 и нормативно-правовые документы размещены на официальном сай</w:t>
      </w:r>
      <w:r w:rsidR="00667CA6" w:rsidRPr="00C041FA">
        <w:rPr>
          <w:rFonts w:ascii="Times New Roman" w:hAnsi="Times New Roman" w:cs="Times New Roman"/>
          <w:sz w:val="24"/>
          <w:szCs w:val="24"/>
        </w:rPr>
        <w:t>т</w:t>
      </w:r>
      <w:r w:rsidR="00D92BCB" w:rsidRPr="00C041FA">
        <w:rPr>
          <w:rFonts w:ascii="Times New Roman" w:hAnsi="Times New Roman" w:cs="Times New Roman"/>
          <w:sz w:val="24"/>
          <w:szCs w:val="24"/>
        </w:rPr>
        <w:t>е</w:t>
      </w:r>
      <w:r w:rsidR="00D92BCB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BCB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="00D92BCB"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C62FEC" w:rsidRPr="00C041FA">
        <w:rPr>
          <w:rFonts w:ascii="Times New Roman" w:hAnsi="Times New Roman" w:cs="Times New Roman"/>
          <w:sz w:val="24"/>
          <w:szCs w:val="24"/>
        </w:rPr>
        <w:t>:</w:t>
      </w:r>
      <w:r w:rsidR="008F5389"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="00E2733B" w:rsidRPr="00C041FA">
        <w:rPr>
          <w:rFonts w:ascii="Times New Roman" w:hAnsi="Times New Roman" w:cs="Times New Roman"/>
          <w:sz w:val="24"/>
          <w:szCs w:val="24"/>
        </w:rPr>
        <w:t>https://sbor.ru/economy/konkur</w:t>
      </w:r>
      <w:r w:rsidR="00D562E1" w:rsidRPr="00C041FA">
        <w:rPr>
          <w:rFonts w:ascii="Times New Roman" w:hAnsi="Times New Roman" w:cs="Times New Roman"/>
          <w:sz w:val="24"/>
          <w:szCs w:val="24"/>
        </w:rPr>
        <w:t>.</w:t>
      </w:r>
    </w:p>
    <w:p w:rsidR="00516DEF" w:rsidRPr="00C041FA" w:rsidRDefault="00B0686C" w:rsidP="009D1605">
      <w:pPr>
        <w:pStyle w:val="Default"/>
        <w:ind w:firstLine="360"/>
        <w:jc w:val="both"/>
        <w:rPr>
          <w:bCs/>
          <w:color w:val="auto"/>
        </w:rPr>
      </w:pPr>
      <w:r w:rsidRPr="00C041FA">
        <w:rPr>
          <w:bCs/>
          <w:color w:val="auto"/>
        </w:rPr>
        <w:t>1.</w:t>
      </w:r>
      <w:r w:rsidR="009D1605" w:rsidRPr="00C041FA">
        <w:rPr>
          <w:bCs/>
          <w:color w:val="auto"/>
        </w:rPr>
        <w:t>О с</w:t>
      </w:r>
      <w:r w:rsidR="00516DEF" w:rsidRPr="00C041FA">
        <w:rPr>
          <w:bCs/>
          <w:color w:val="auto"/>
        </w:rPr>
        <w:t>остояни</w:t>
      </w:r>
      <w:r w:rsidR="009D1605" w:rsidRPr="00C041FA">
        <w:rPr>
          <w:bCs/>
          <w:color w:val="auto"/>
        </w:rPr>
        <w:t>и</w:t>
      </w:r>
      <w:r w:rsidR="00516DEF" w:rsidRPr="00C041FA">
        <w:rPr>
          <w:bCs/>
          <w:color w:val="auto"/>
        </w:rPr>
        <w:t xml:space="preserve"> и развити</w:t>
      </w:r>
      <w:r w:rsidR="009D1605" w:rsidRPr="00C041FA">
        <w:rPr>
          <w:bCs/>
          <w:color w:val="auto"/>
        </w:rPr>
        <w:t>и</w:t>
      </w:r>
      <w:r w:rsidR="00516DEF" w:rsidRPr="00C041FA">
        <w:rPr>
          <w:bCs/>
          <w:color w:val="auto"/>
        </w:rPr>
        <w:t xml:space="preserve"> конкурентной среды на рынках товаров, работ и услуг</w:t>
      </w:r>
      <w:r w:rsidR="00D92BCB" w:rsidRPr="00C041FA">
        <w:t xml:space="preserve"> на территории </w:t>
      </w:r>
      <w:proofErr w:type="spellStart"/>
      <w:r w:rsidR="00D92BCB" w:rsidRPr="00C041FA">
        <w:rPr>
          <w:rFonts w:eastAsia="Times New Roman"/>
          <w:lang w:eastAsia="ru-RU"/>
        </w:rPr>
        <w:t>Сосновоборского</w:t>
      </w:r>
      <w:proofErr w:type="spellEnd"/>
      <w:r w:rsidR="00D92BCB" w:rsidRPr="00C041FA">
        <w:rPr>
          <w:rFonts w:eastAsia="Times New Roman"/>
          <w:lang w:eastAsia="ru-RU"/>
        </w:rPr>
        <w:t xml:space="preserve"> городского округа</w:t>
      </w:r>
      <w:r w:rsidR="00516DEF" w:rsidRPr="00C041FA">
        <w:rPr>
          <w:bCs/>
          <w:color w:val="auto"/>
        </w:rPr>
        <w:t>.</w:t>
      </w:r>
    </w:p>
    <w:p w:rsidR="009C3B90" w:rsidRPr="00C041FA" w:rsidRDefault="009D1605" w:rsidP="009C3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Приоритетными рынками товаров, работ и услуг </w:t>
      </w:r>
      <w:proofErr w:type="spellStart"/>
      <w:r w:rsidRPr="00C041FA">
        <w:rPr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являются: </w:t>
      </w:r>
      <w:r w:rsidRPr="00C041FA">
        <w:rPr>
          <w:rFonts w:ascii="Times New Roman" w:hAnsi="Times New Roman" w:cs="Times New Roman"/>
          <w:bCs/>
          <w:sz w:val="24"/>
          <w:szCs w:val="24"/>
        </w:rPr>
        <w:t>рынок выполнения работ по благоустройству городской среды,</w:t>
      </w:r>
      <w:r w:rsidR="00D562E1" w:rsidRPr="00C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1FA">
        <w:rPr>
          <w:rFonts w:ascii="Times New Roman" w:hAnsi="Times New Roman" w:cs="Times New Roman"/>
          <w:bCs/>
          <w:sz w:val="24"/>
          <w:szCs w:val="24"/>
        </w:rPr>
        <w:t>р</w:t>
      </w:r>
      <w:r w:rsidRPr="00C041FA">
        <w:rPr>
          <w:rFonts w:ascii="Times New Roman" w:hAnsi="Times New Roman" w:cs="Times New Roman"/>
          <w:sz w:val="24"/>
          <w:szCs w:val="24"/>
        </w:rPr>
        <w:t>ынок архитектурно-строительного проектирования.</w:t>
      </w:r>
    </w:p>
    <w:p w:rsidR="000D4002" w:rsidRPr="00C041FA" w:rsidRDefault="000D4002" w:rsidP="009C3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1FA">
        <w:rPr>
          <w:rFonts w:ascii="Times New Roman" w:hAnsi="Times New Roman" w:cs="Times New Roman"/>
          <w:bCs/>
          <w:sz w:val="24"/>
          <w:szCs w:val="24"/>
        </w:rPr>
        <w:t>1.Рынок выполнения работ по благоустройству городской среды</w:t>
      </w:r>
      <w:r w:rsidR="00461B09" w:rsidRPr="00C041FA">
        <w:rPr>
          <w:rFonts w:ascii="Times New Roman" w:hAnsi="Times New Roman" w:cs="Times New Roman"/>
          <w:bCs/>
          <w:sz w:val="24"/>
          <w:szCs w:val="24"/>
        </w:rPr>
        <w:t>.</w:t>
      </w:r>
    </w:p>
    <w:p w:rsidR="000D4002" w:rsidRPr="00C041FA" w:rsidRDefault="000D4002" w:rsidP="000B3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В сфере работ по ремонту дорог и благоустройству города произведено </w:t>
      </w:r>
      <w:r w:rsidR="00541841" w:rsidRPr="00C041FA">
        <w:rPr>
          <w:rFonts w:ascii="Times New Roman" w:hAnsi="Times New Roman" w:cs="Times New Roman"/>
          <w:sz w:val="24"/>
          <w:szCs w:val="24"/>
        </w:rPr>
        <w:t>81</w:t>
      </w:r>
      <w:r w:rsidRPr="00C041F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3D631E" w:rsidRPr="00C041FA">
        <w:rPr>
          <w:rFonts w:ascii="Times New Roman" w:hAnsi="Times New Roman" w:cs="Times New Roman"/>
          <w:sz w:val="24"/>
          <w:szCs w:val="24"/>
        </w:rPr>
        <w:t>ка</w:t>
      </w:r>
      <w:r w:rsidRPr="00C041FA">
        <w:rPr>
          <w:rFonts w:ascii="Times New Roman" w:hAnsi="Times New Roman" w:cs="Times New Roman"/>
          <w:sz w:val="24"/>
          <w:szCs w:val="24"/>
        </w:rPr>
        <w:t>. Все выполненные работы в течение 2021 года по отделу внешнего благоустройства и дорожного хозяйства проводились через конкурсные процедуры, МК заключены с организациями частной формы собственности.</w:t>
      </w:r>
    </w:p>
    <w:p w:rsidR="000D4002" w:rsidRPr="00C041FA" w:rsidRDefault="000D4002" w:rsidP="000D4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2.Рынок архитектурно-строительного проектирования</w:t>
      </w:r>
      <w:r w:rsidR="00461B09" w:rsidRPr="00C041FA">
        <w:rPr>
          <w:rFonts w:ascii="Times New Roman" w:hAnsi="Times New Roman" w:cs="Times New Roman"/>
          <w:sz w:val="24"/>
          <w:szCs w:val="24"/>
        </w:rPr>
        <w:t>.</w:t>
      </w:r>
    </w:p>
    <w:p w:rsidR="000D4002" w:rsidRPr="00C041FA" w:rsidRDefault="000D4002" w:rsidP="00AC5C4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41FA">
        <w:rPr>
          <w:rFonts w:ascii="Times New Roman" w:hAnsi="Times New Roman" w:cs="Times New Roman"/>
          <w:b w:val="0"/>
          <w:sz w:val="24"/>
          <w:szCs w:val="24"/>
        </w:rPr>
        <w:t>Количество выданных разрешений на установку и эксплуатацию рекламных конструкций на территории муниципального образования Сосновоборский городской округ Ленинградской области – 1</w:t>
      </w:r>
      <w:r w:rsidR="00AC5C41" w:rsidRPr="00C041FA">
        <w:rPr>
          <w:rFonts w:ascii="Times New Roman" w:hAnsi="Times New Roman" w:cs="Times New Roman"/>
          <w:b w:val="0"/>
          <w:sz w:val="24"/>
          <w:szCs w:val="24"/>
        </w:rPr>
        <w:t>3</w:t>
      </w:r>
      <w:r w:rsidRPr="00C041FA">
        <w:rPr>
          <w:rFonts w:ascii="Times New Roman" w:hAnsi="Times New Roman" w:cs="Times New Roman"/>
          <w:b w:val="0"/>
          <w:sz w:val="24"/>
          <w:szCs w:val="24"/>
        </w:rPr>
        <w:t xml:space="preserve"> шт.</w:t>
      </w:r>
    </w:p>
    <w:p w:rsidR="000D4002" w:rsidRPr="00C041FA" w:rsidRDefault="000D4002" w:rsidP="000D40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1FA">
        <w:rPr>
          <w:rFonts w:ascii="Times New Roman" w:hAnsi="Times New Roman" w:cs="Times New Roman"/>
          <w:sz w:val="24"/>
          <w:szCs w:val="24"/>
        </w:rPr>
        <w:t>Системные мероприятия по развитию конкурентной среды в Сосновоборском городском округе.</w:t>
      </w:r>
      <w:proofErr w:type="gramEnd"/>
    </w:p>
    <w:p w:rsidR="000D4002" w:rsidRPr="00C041FA" w:rsidRDefault="000D4002" w:rsidP="000D40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Style w:val="1"/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Pr="00C041FA">
        <w:rPr>
          <w:rFonts w:ascii="Times New Roman" w:hAnsi="Times New Roman" w:cs="Times New Roman"/>
          <w:sz w:val="24"/>
          <w:szCs w:val="24"/>
        </w:rPr>
        <w:t>Развитие конкурентоспособности товаров, работ, услуг субъектов малого и среднего предпринимательства.</w:t>
      </w:r>
    </w:p>
    <w:p w:rsidR="000D4002" w:rsidRPr="00C041FA" w:rsidRDefault="000D4002" w:rsidP="000D400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1FA">
        <w:rPr>
          <w:rStyle w:val="ArialNarrow9pt0pt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-Информационная, консультационная и образовательная поддержка субъектов малого и среднего предпринимательства</w:t>
      </w:r>
      <w:r w:rsidR="00461B09" w:rsidRPr="00C041FA">
        <w:rPr>
          <w:rStyle w:val="ArialNarrow9pt0pt"/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C041FA">
        <w:rPr>
          <w:rFonts w:ascii="Times New Roman" w:hAnsi="Times New Roman" w:cs="Times New Roman"/>
          <w:sz w:val="24"/>
          <w:szCs w:val="24"/>
        </w:rPr>
        <w:t>количество уникальных клиентов</w:t>
      </w:r>
      <w:r w:rsidR="00461B09" w:rsidRPr="00C041FA">
        <w:rPr>
          <w:rFonts w:ascii="Times New Roman" w:hAnsi="Times New Roman" w:cs="Times New Roman"/>
          <w:sz w:val="24"/>
          <w:szCs w:val="24"/>
        </w:rPr>
        <w:t>-</w:t>
      </w:r>
      <w:r w:rsidRPr="00C041FA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E43DFF" w:rsidRPr="00C041FA">
        <w:rPr>
          <w:rFonts w:ascii="Times New Roman" w:hAnsi="Times New Roman" w:cs="Times New Roman"/>
          <w:sz w:val="24"/>
          <w:szCs w:val="24"/>
        </w:rPr>
        <w:t>СМП</w:t>
      </w:r>
      <w:r w:rsidRPr="00C041FA">
        <w:rPr>
          <w:rFonts w:ascii="Times New Roman" w:hAnsi="Times New Roman" w:cs="Times New Roman"/>
          <w:sz w:val="24"/>
          <w:szCs w:val="24"/>
        </w:rPr>
        <w:t>, получивших</w:t>
      </w:r>
      <w:r w:rsidRPr="00C041F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041FA">
        <w:rPr>
          <w:rFonts w:ascii="Times New Roman" w:hAnsi="Times New Roman" w:cs="Times New Roman"/>
          <w:color w:val="000000" w:themeColor="text1"/>
          <w:sz w:val="24"/>
          <w:szCs w:val="24"/>
        </w:rPr>
        <w:t>поддержку</w:t>
      </w:r>
      <w:r w:rsidR="00461B09" w:rsidRPr="00C0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314BF7" w:rsidRPr="00C041FA">
        <w:rPr>
          <w:rFonts w:ascii="Times New Roman" w:hAnsi="Times New Roman" w:cs="Times New Roman"/>
          <w:color w:val="000000" w:themeColor="text1"/>
          <w:sz w:val="24"/>
          <w:szCs w:val="24"/>
        </w:rPr>
        <w:t>730</w:t>
      </w:r>
      <w:r w:rsidR="00E43DFF" w:rsidRPr="00C0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</w:t>
      </w:r>
      <w:r w:rsidRPr="00C0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Всего </w:t>
      </w:r>
      <w:r w:rsidR="00E43DFF" w:rsidRPr="00C041FA">
        <w:rPr>
          <w:rStyle w:val="ArialNarrow9pt0pt"/>
          <w:rFonts w:ascii="Times New Roman" w:hAnsi="Times New Roman" w:cs="Times New Roman"/>
          <w:b w:val="0"/>
          <w:color w:val="auto"/>
          <w:sz w:val="24"/>
          <w:szCs w:val="24"/>
        </w:rPr>
        <w:t>субъектов</w:t>
      </w:r>
      <w:r w:rsidRPr="00C0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СМП по данным Реестра ФНС </w:t>
      </w:r>
      <w:r w:rsidR="004C327F" w:rsidRPr="00C041FA">
        <w:rPr>
          <w:rFonts w:ascii="Times New Roman" w:hAnsi="Times New Roman" w:cs="Times New Roman"/>
          <w:sz w:val="24"/>
          <w:szCs w:val="24"/>
          <w:lang w:eastAsia="ar-SA"/>
        </w:rPr>
        <w:t>на 10.01.2022</w:t>
      </w:r>
      <w:r w:rsidR="00461B09" w:rsidRPr="00C041F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C327F" w:rsidRPr="00C041FA">
        <w:rPr>
          <w:rFonts w:ascii="Times New Roman" w:hAnsi="Times New Roman" w:cs="Times New Roman"/>
          <w:color w:val="000000" w:themeColor="text1"/>
          <w:sz w:val="24"/>
          <w:szCs w:val="24"/>
        </w:rPr>
        <w:t>1931</w:t>
      </w:r>
      <w:r w:rsidRPr="00C0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</w:t>
      </w:r>
    </w:p>
    <w:p w:rsidR="000D4002" w:rsidRPr="00C041FA" w:rsidRDefault="000D4002" w:rsidP="00EB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Style w:val="95pt0pt"/>
          <w:rFonts w:eastAsia="Calibri"/>
          <w:b w:val="0"/>
          <w:color w:val="auto"/>
          <w:sz w:val="24"/>
          <w:szCs w:val="24"/>
        </w:rPr>
        <w:t xml:space="preserve">-Оказание методической и консультационной помощи </w:t>
      </w:r>
      <w:r w:rsidRPr="00C041FA">
        <w:rPr>
          <w:rFonts w:ascii="Times New Roman" w:hAnsi="Times New Roman" w:cs="Times New Roman"/>
          <w:sz w:val="24"/>
          <w:szCs w:val="24"/>
        </w:rPr>
        <w:t>оказание консультативной помощи  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</w:r>
      <w:r w:rsidRPr="00C041FA">
        <w:rPr>
          <w:rStyle w:val="95pt0pt"/>
          <w:rFonts w:eastAsia="Arial"/>
          <w:b w:val="0"/>
          <w:color w:val="auto"/>
          <w:sz w:val="24"/>
          <w:szCs w:val="24"/>
        </w:rPr>
        <w:t xml:space="preserve"> по вопросам участия в ярмарках и организации нестационарных торговых объектов.-</w:t>
      </w:r>
      <w:r w:rsidRPr="00C041FA">
        <w:rPr>
          <w:rFonts w:ascii="Times New Roman" w:hAnsi="Times New Roman" w:cs="Times New Roman"/>
          <w:sz w:val="24"/>
          <w:szCs w:val="24"/>
        </w:rPr>
        <w:t xml:space="preserve"> Количество обращений в администрацию -</w:t>
      </w:r>
      <w:r w:rsidR="005066FC" w:rsidRPr="00C041FA">
        <w:rPr>
          <w:rFonts w:ascii="Times New Roman" w:hAnsi="Times New Roman" w:cs="Times New Roman"/>
          <w:sz w:val="24"/>
          <w:szCs w:val="24"/>
        </w:rPr>
        <w:t>21</w:t>
      </w:r>
      <w:r w:rsidRPr="00C041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D4002" w:rsidRPr="00C041FA" w:rsidRDefault="000D4002" w:rsidP="00EB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по вопросу размещения НТО - 1</w:t>
      </w:r>
      <w:r w:rsidR="005066FC" w:rsidRPr="00C041FA">
        <w:rPr>
          <w:rFonts w:ascii="Times New Roman" w:hAnsi="Times New Roman" w:cs="Times New Roman"/>
          <w:sz w:val="24"/>
          <w:szCs w:val="24"/>
        </w:rPr>
        <w:t>5</w:t>
      </w:r>
      <w:r w:rsidRPr="00C041F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</w:t>
      </w:r>
    </w:p>
    <w:p w:rsidR="000D4002" w:rsidRPr="00C041FA" w:rsidRDefault="000D4002" w:rsidP="00EB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- по вопросам участия в 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ярмарках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 - </w:t>
      </w:r>
      <w:r w:rsidR="005066FC" w:rsidRPr="00C041FA">
        <w:rPr>
          <w:rFonts w:ascii="Times New Roman" w:hAnsi="Times New Roman" w:cs="Times New Roman"/>
          <w:sz w:val="24"/>
          <w:szCs w:val="24"/>
        </w:rPr>
        <w:t>6</w:t>
      </w:r>
      <w:r w:rsidRPr="00C041F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предпринимателя.</w:t>
      </w:r>
    </w:p>
    <w:p w:rsidR="000D4002" w:rsidRPr="00C041FA" w:rsidRDefault="000D4002" w:rsidP="00EB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Всем хозяйствующим субъектам предоставлена методическая и консультативная помощь, в том числе даны разъяснения в письменном виде.</w:t>
      </w:r>
    </w:p>
    <w:p w:rsidR="000D4002" w:rsidRPr="00C041FA" w:rsidRDefault="000D4002" w:rsidP="00EB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По обращениям предпринимателей в Схему размещения НТО включены дополнительно 6 новых мест под установку нестационарных торговых объектов, в том числе 1 место – под установку павильона по продаже продовольственных товаров  в районе  карьера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Смоль</w:t>
      </w:r>
      <w:r w:rsidR="00352523" w:rsidRPr="00C041FA">
        <w:rPr>
          <w:rFonts w:ascii="Times New Roman" w:hAnsi="Times New Roman" w:cs="Times New Roman"/>
          <w:sz w:val="24"/>
          <w:szCs w:val="24"/>
        </w:rPr>
        <w:t>нен</w:t>
      </w:r>
      <w:r w:rsidRPr="00C041F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и ДНТ «Престиж»,  5 мест – под установку сезонных НТО в районе кладбища «Воронка-1», «Воронка-2» и в районе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>оваш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>.</w:t>
      </w:r>
    </w:p>
    <w:p w:rsidR="000D4002" w:rsidRPr="00C041FA" w:rsidRDefault="000D4002" w:rsidP="00EB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Заключены  договора с хозяйствующими субъектами на размещение </w:t>
      </w:r>
      <w:r w:rsidR="005C57A4" w:rsidRPr="00C041FA">
        <w:rPr>
          <w:rFonts w:ascii="Times New Roman" w:hAnsi="Times New Roman" w:cs="Times New Roman"/>
          <w:sz w:val="24"/>
          <w:szCs w:val="24"/>
        </w:rPr>
        <w:t>9</w:t>
      </w:r>
      <w:r w:rsidRPr="00C041FA">
        <w:rPr>
          <w:rFonts w:ascii="Times New Roman" w:hAnsi="Times New Roman" w:cs="Times New Roman"/>
          <w:sz w:val="24"/>
          <w:szCs w:val="24"/>
        </w:rPr>
        <w:t xml:space="preserve"> сезонных НТО для реализации картофеля и овощей.</w:t>
      </w:r>
    </w:p>
    <w:p w:rsidR="000D4002" w:rsidRPr="00C041FA" w:rsidRDefault="000D4002" w:rsidP="000B36AB">
      <w:pPr>
        <w:spacing w:after="0" w:line="240" w:lineRule="auto"/>
        <w:ind w:firstLine="708"/>
        <w:jc w:val="both"/>
        <w:rPr>
          <w:rStyle w:val="10pt0pt"/>
          <w:rFonts w:eastAsia="Calibri"/>
          <w:b w:val="0"/>
          <w:color w:val="auto"/>
          <w:sz w:val="24"/>
          <w:szCs w:val="24"/>
        </w:rPr>
      </w:pPr>
      <w:r w:rsidRPr="00C041FA">
        <w:rPr>
          <w:rStyle w:val="10pt0pt"/>
          <w:rFonts w:eastAsia="Calibri"/>
          <w:b w:val="0"/>
          <w:color w:val="auto"/>
          <w:sz w:val="24"/>
          <w:szCs w:val="24"/>
        </w:rPr>
        <w:t>2. Устранение избыточного государственного и муниципального регулирования, а также снижение административных барьеров.</w:t>
      </w:r>
    </w:p>
    <w:p w:rsidR="000D4002" w:rsidRPr="00C041FA" w:rsidRDefault="000D4002" w:rsidP="0040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-Содействие в 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устранении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 административных барьеров и препятствий, сдерживающих развитие предпринимательства - проведено </w:t>
      </w:r>
      <w:r w:rsidR="00A107B8" w:rsidRPr="00C041FA">
        <w:rPr>
          <w:rFonts w:ascii="Times New Roman" w:hAnsi="Times New Roman" w:cs="Times New Roman"/>
          <w:sz w:val="24"/>
          <w:szCs w:val="24"/>
        </w:rPr>
        <w:t>5</w:t>
      </w:r>
      <w:r w:rsidRPr="00C041F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EB4F20" w:rsidRPr="00C041FA">
        <w:rPr>
          <w:rFonts w:ascii="Times New Roman" w:hAnsi="Times New Roman" w:cs="Times New Roman"/>
          <w:sz w:val="24"/>
          <w:szCs w:val="24"/>
        </w:rPr>
        <w:t>й</w:t>
      </w:r>
      <w:r w:rsidRPr="00C041FA">
        <w:rPr>
          <w:rFonts w:ascii="Times New Roman" w:hAnsi="Times New Roman" w:cs="Times New Roman"/>
          <w:sz w:val="24"/>
          <w:szCs w:val="24"/>
        </w:rPr>
        <w:t xml:space="preserve"> Координационного совета по вопросам развития малого и среднего предпринимательства на территории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D4002" w:rsidRPr="00C041FA" w:rsidRDefault="000D4002" w:rsidP="0040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- Проведение экспертизы нормативных актов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Проведен</w:t>
      </w:r>
      <w:r w:rsidR="004011EA" w:rsidRPr="00C041FA">
        <w:rPr>
          <w:rFonts w:ascii="Times New Roman" w:hAnsi="Times New Roman" w:cs="Times New Roman"/>
          <w:sz w:val="24"/>
          <w:szCs w:val="24"/>
        </w:rPr>
        <w:t xml:space="preserve">ы 3 </w:t>
      </w:r>
      <w:r w:rsidRPr="00C041FA">
        <w:rPr>
          <w:rFonts w:ascii="Times New Roman" w:hAnsi="Times New Roman" w:cs="Times New Roman"/>
          <w:sz w:val="24"/>
          <w:szCs w:val="24"/>
        </w:rPr>
        <w:t>экспертиз</w:t>
      </w:r>
      <w:r w:rsidR="004011EA" w:rsidRPr="00C041FA">
        <w:rPr>
          <w:rFonts w:ascii="Times New Roman" w:hAnsi="Times New Roman" w:cs="Times New Roman"/>
          <w:sz w:val="24"/>
          <w:szCs w:val="24"/>
        </w:rPr>
        <w:t>ы</w:t>
      </w:r>
      <w:r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="004011EA" w:rsidRPr="00C041FA">
        <w:rPr>
          <w:rFonts w:ascii="Times New Roman" w:hAnsi="Times New Roman" w:cs="Times New Roman"/>
          <w:sz w:val="24"/>
          <w:szCs w:val="24"/>
        </w:rPr>
        <w:t>но</w:t>
      </w:r>
      <w:r w:rsidR="004C730C" w:rsidRPr="00C041FA">
        <w:rPr>
          <w:rFonts w:ascii="Times New Roman" w:hAnsi="Times New Roman" w:cs="Times New Roman"/>
          <w:sz w:val="24"/>
          <w:szCs w:val="24"/>
        </w:rPr>
        <w:t>р</w:t>
      </w:r>
      <w:r w:rsidR="004011EA" w:rsidRPr="00C041FA">
        <w:rPr>
          <w:rFonts w:ascii="Times New Roman" w:hAnsi="Times New Roman" w:cs="Times New Roman"/>
          <w:sz w:val="24"/>
          <w:szCs w:val="24"/>
        </w:rPr>
        <w:t>мативно-правовых актов</w:t>
      </w:r>
      <w:r w:rsidRPr="00C041FA">
        <w:rPr>
          <w:rFonts w:ascii="Times New Roman" w:hAnsi="Times New Roman" w:cs="Times New Roman"/>
          <w:sz w:val="24"/>
          <w:szCs w:val="24"/>
        </w:rPr>
        <w:t>. В</w:t>
      </w:r>
      <w:r w:rsidR="004C730C" w:rsidRPr="00C041FA">
        <w:rPr>
          <w:rFonts w:ascii="Times New Roman" w:hAnsi="Times New Roman" w:cs="Times New Roman"/>
          <w:sz w:val="24"/>
          <w:szCs w:val="24"/>
        </w:rPr>
        <w:t xml:space="preserve"> нормативно-правовых актах</w:t>
      </w:r>
      <w:r w:rsidRPr="00C041FA">
        <w:rPr>
          <w:rFonts w:ascii="Times New Roman" w:hAnsi="Times New Roman" w:cs="Times New Roman"/>
          <w:sz w:val="24"/>
          <w:szCs w:val="24"/>
        </w:rPr>
        <w:t xml:space="preserve"> не выявлено положений, необоснованно затрудняющих ведение предпринимательской и инвестиционной деятельности.</w:t>
      </w:r>
    </w:p>
    <w:p w:rsidR="000D4002" w:rsidRPr="00C041FA" w:rsidRDefault="000D4002" w:rsidP="000D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1FA">
        <w:rPr>
          <w:rFonts w:ascii="Times New Roman" w:hAnsi="Times New Roman" w:cs="Times New Roman"/>
          <w:sz w:val="24"/>
          <w:szCs w:val="24"/>
        </w:rPr>
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</w:r>
      <w:proofErr w:type="gramEnd"/>
    </w:p>
    <w:p w:rsidR="000D4002" w:rsidRPr="00C041FA" w:rsidRDefault="004E6340" w:rsidP="004E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Style w:val="95pt0pt"/>
          <w:rFonts w:eastAsia="Arial"/>
          <w:b w:val="0"/>
          <w:color w:val="auto"/>
          <w:sz w:val="24"/>
          <w:szCs w:val="24"/>
        </w:rPr>
        <w:t>-</w:t>
      </w:r>
      <w:r w:rsidR="000D4002" w:rsidRPr="00C041FA">
        <w:rPr>
          <w:rStyle w:val="95pt0pt"/>
          <w:rFonts w:eastAsia="Arial"/>
          <w:b w:val="0"/>
          <w:color w:val="auto"/>
          <w:sz w:val="24"/>
          <w:szCs w:val="24"/>
        </w:rPr>
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</w:r>
      <w:r w:rsidR="000D4002" w:rsidRPr="00C041FA">
        <w:rPr>
          <w:rStyle w:val="95pt0pt"/>
          <w:rFonts w:eastAsia="Arial"/>
          <w:b w:val="0"/>
          <w:color w:val="auto"/>
          <w:sz w:val="24"/>
          <w:szCs w:val="24"/>
          <w:lang w:bidi="en-US"/>
        </w:rPr>
        <w:t>(</w:t>
      </w:r>
      <w:hyperlink r:id="rId6" w:history="1">
        <w:r w:rsidR="000D4002" w:rsidRPr="00C041F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 w:bidi="en-US"/>
          </w:rPr>
          <w:t>www</w:t>
        </w:r>
        <w:r w:rsidR="000D4002" w:rsidRPr="00C041F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bidi="en-US"/>
          </w:rPr>
          <w:t>.</w:t>
        </w:r>
        <w:proofErr w:type="spellStart"/>
        <w:r w:rsidR="000D4002" w:rsidRPr="00C041F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 w:bidi="en-US"/>
          </w:rPr>
          <w:t>torgi</w:t>
        </w:r>
        <w:proofErr w:type="spellEnd"/>
        <w:r w:rsidR="000D4002" w:rsidRPr="00C041F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bidi="en-US"/>
          </w:rPr>
          <w:t>.</w:t>
        </w:r>
        <w:proofErr w:type="spellStart"/>
        <w:r w:rsidR="000D4002" w:rsidRPr="00C041F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 w:bidi="en-US"/>
          </w:rPr>
          <w:t>gov</w:t>
        </w:r>
        <w:proofErr w:type="spellEnd"/>
        <w:r w:rsidR="000D4002" w:rsidRPr="00C041F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bidi="en-US"/>
          </w:rPr>
          <w:t>.</w:t>
        </w:r>
        <w:proofErr w:type="spellStart"/>
        <w:r w:rsidR="000D4002" w:rsidRPr="00C041F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 w:bidi="en-US"/>
          </w:rPr>
          <w:t>ru</w:t>
        </w:r>
        <w:proofErr w:type="spellEnd"/>
      </w:hyperlink>
      <w:r w:rsidR="000D4002" w:rsidRPr="00C041FA">
        <w:rPr>
          <w:rStyle w:val="95pt0pt"/>
          <w:rFonts w:eastAsia="Arial"/>
          <w:b w:val="0"/>
          <w:color w:val="auto"/>
          <w:sz w:val="24"/>
          <w:szCs w:val="24"/>
          <w:lang w:bidi="en-US"/>
        </w:rPr>
        <w:t xml:space="preserve">) </w:t>
      </w:r>
      <w:r w:rsidR="000D4002" w:rsidRPr="00C041FA">
        <w:rPr>
          <w:rStyle w:val="95pt0pt"/>
          <w:rFonts w:eastAsia="Arial"/>
          <w:b w:val="0"/>
          <w:color w:val="auto"/>
          <w:sz w:val="24"/>
          <w:szCs w:val="24"/>
        </w:rPr>
        <w:t xml:space="preserve">и на официальном сайте </w:t>
      </w:r>
      <w:proofErr w:type="spellStart"/>
      <w:r w:rsidR="000D4002" w:rsidRPr="00C041FA">
        <w:rPr>
          <w:rStyle w:val="ArialNarrow9pt0pt"/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="000D4002" w:rsidRPr="00C041FA">
        <w:rPr>
          <w:rStyle w:val="ArialNarrow9pt0pt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</w:t>
      </w:r>
      <w:r w:rsidR="000D4002" w:rsidRPr="00C041FA">
        <w:rPr>
          <w:rStyle w:val="95pt0pt"/>
          <w:rFonts w:eastAsia="Arial"/>
          <w:b w:val="0"/>
          <w:color w:val="auto"/>
          <w:sz w:val="24"/>
          <w:szCs w:val="24"/>
        </w:rPr>
        <w:t xml:space="preserve"> в сети «Интернет»-</w:t>
      </w:r>
      <w:r w:rsidR="000D4002" w:rsidRPr="00C04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4002" w:rsidRPr="00C041FA">
        <w:rPr>
          <w:rStyle w:val="95pt0pt"/>
          <w:rFonts w:eastAsia="Arial"/>
          <w:b w:val="0"/>
          <w:color w:val="auto"/>
          <w:sz w:val="24"/>
          <w:szCs w:val="24"/>
        </w:rPr>
        <w:t>Количество объявленных аукционов-</w:t>
      </w:r>
      <w:r w:rsidR="00BB240B" w:rsidRPr="00C041FA">
        <w:rPr>
          <w:rStyle w:val="95pt0pt"/>
          <w:rFonts w:eastAsia="Arial"/>
          <w:b w:val="0"/>
          <w:color w:val="auto"/>
          <w:sz w:val="24"/>
          <w:szCs w:val="24"/>
        </w:rPr>
        <w:t>71</w:t>
      </w:r>
      <w:r w:rsidR="000D4002" w:rsidRPr="00C041FA">
        <w:rPr>
          <w:rStyle w:val="95pt0pt"/>
          <w:rFonts w:eastAsia="Arial"/>
          <w:b w:val="0"/>
          <w:color w:val="auto"/>
          <w:sz w:val="24"/>
          <w:szCs w:val="24"/>
        </w:rPr>
        <w:t>.</w:t>
      </w:r>
      <w:r w:rsidR="000D4002" w:rsidRPr="00C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02" w:rsidRPr="00C041FA">
        <w:rPr>
          <w:rFonts w:ascii="Times New Roman" w:hAnsi="Times New Roman" w:cs="Times New Roman"/>
          <w:sz w:val="24"/>
          <w:szCs w:val="24"/>
        </w:rPr>
        <w:t>Торги по нескольким помещениям проводились повторно.</w:t>
      </w:r>
    </w:p>
    <w:p w:rsidR="000D4002" w:rsidRPr="00C041FA" w:rsidRDefault="00EF0BE1" w:rsidP="00EF0BE1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41FA">
        <w:rPr>
          <w:rStyle w:val="10pt"/>
          <w:rFonts w:eastAsiaTheme="minorHAnsi"/>
          <w:color w:val="auto"/>
          <w:sz w:val="24"/>
          <w:szCs w:val="24"/>
        </w:rPr>
        <w:t>-</w:t>
      </w:r>
      <w:r w:rsidR="000D4002" w:rsidRPr="00C041FA">
        <w:rPr>
          <w:rStyle w:val="10pt"/>
          <w:rFonts w:eastAsiaTheme="minorHAnsi"/>
          <w:color w:val="auto"/>
          <w:sz w:val="24"/>
          <w:szCs w:val="24"/>
        </w:rPr>
        <w:t xml:space="preserve">Снижение количества муниципальных унитарных предприятий </w:t>
      </w:r>
      <w:proofErr w:type="spellStart"/>
      <w:r w:rsidR="000D4002" w:rsidRPr="00C041FA">
        <w:rPr>
          <w:rStyle w:val="10pt"/>
          <w:rFonts w:eastAsiaTheme="minorHAnsi"/>
          <w:color w:val="auto"/>
          <w:spacing w:val="4"/>
          <w:sz w:val="24"/>
          <w:szCs w:val="24"/>
        </w:rPr>
        <w:t>Сосновоборского</w:t>
      </w:r>
      <w:proofErr w:type="spellEnd"/>
      <w:r w:rsidR="000D4002" w:rsidRPr="00C041FA">
        <w:rPr>
          <w:rStyle w:val="10pt"/>
          <w:rFonts w:eastAsiaTheme="minorHAnsi"/>
          <w:color w:val="auto"/>
          <w:spacing w:val="4"/>
          <w:sz w:val="24"/>
          <w:szCs w:val="24"/>
        </w:rPr>
        <w:t xml:space="preserve"> городского округа: </w:t>
      </w:r>
      <w:r w:rsidR="000D4002" w:rsidRPr="00C041FA">
        <w:rPr>
          <w:rFonts w:ascii="Times New Roman" w:hAnsi="Times New Roman" w:cs="Times New Roman"/>
          <w:b w:val="0"/>
          <w:sz w:val="24"/>
          <w:szCs w:val="24"/>
        </w:rPr>
        <w:t>действующих -  4 предприятия, 3</w:t>
      </w:r>
      <w:r w:rsidR="000D4002" w:rsidRPr="00C041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подлежит ликвидации или реорганизации. Одно муниципальное предприятие - СМУП ЖКО "Комфорт" не может быть ликвидировано по причине наличия налоговой задолженности, в </w:t>
      </w:r>
      <w:r w:rsidR="004434C6" w:rsidRPr="00C041FA">
        <w:rPr>
          <w:rFonts w:ascii="Times New Roman" w:hAnsi="Times New Roman" w:cs="Times New Roman"/>
          <w:b w:val="0"/>
          <w:bCs w:val="0"/>
          <w:sz w:val="24"/>
          <w:szCs w:val="24"/>
        </w:rPr>
        <w:t>связи,</w:t>
      </w:r>
      <w:r w:rsidR="000D4002" w:rsidRPr="00C041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чем инициирована процедура банкротства.</w:t>
      </w:r>
    </w:p>
    <w:p w:rsidR="000D4002" w:rsidRPr="00C041FA" w:rsidRDefault="000D4002" w:rsidP="00DD7A9D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41FA">
        <w:rPr>
          <w:rFonts w:ascii="Times New Roman" w:hAnsi="Times New Roman" w:cs="Times New Roman"/>
          <w:b w:val="0"/>
          <w:sz w:val="24"/>
          <w:szCs w:val="24"/>
        </w:rPr>
        <w:t>-</w:t>
      </w:r>
      <w:r w:rsidRPr="00C041FA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C041FA">
        <w:rPr>
          <w:rStyle w:val="95pt0pt"/>
          <w:rFonts w:eastAsia="Arial"/>
          <w:color w:val="auto"/>
          <w:sz w:val="24"/>
          <w:szCs w:val="24"/>
        </w:rPr>
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прибыли)-</w:t>
      </w:r>
      <w:r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Pr="00C041FA">
        <w:rPr>
          <w:rFonts w:ascii="Times New Roman" w:hAnsi="Times New Roman" w:cs="Times New Roman"/>
          <w:b w:val="0"/>
          <w:sz w:val="24"/>
          <w:szCs w:val="24"/>
        </w:rPr>
        <w:t>мероприятия в отчетном периоде не проводились.</w:t>
      </w:r>
    </w:p>
    <w:p w:rsidR="000D4002" w:rsidRPr="00C041FA" w:rsidRDefault="00CD2442" w:rsidP="00CD2442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41FA">
        <w:rPr>
          <w:rStyle w:val="95pt0pt"/>
          <w:rFonts w:eastAsia="Arial"/>
          <w:color w:val="auto"/>
          <w:sz w:val="24"/>
          <w:szCs w:val="24"/>
        </w:rPr>
        <w:lastRenderedPageBreak/>
        <w:t xml:space="preserve">- </w:t>
      </w:r>
      <w:r w:rsidR="000D4002" w:rsidRPr="00C041FA">
        <w:rPr>
          <w:rStyle w:val="95pt0pt"/>
          <w:rFonts w:eastAsia="Arial"/>
          <w:color w:val="auto"/>
          <w:sz w:val="24"/>
          <w:szCs w:val="24"/>
        </w:rPr>
        <w:t>Оказание имущественной поддержки субъектам малого и среднего предпринимательства -</w:t>
      </w:r>
      <w:r w:rsidR="000D4002"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="000D4002" w:rsidRPr="00C041F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="000D4002" w:rsidRPr="00C041FA"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 w:rsidR="000D4002" w:rsidRPr="00C041F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преференции нежилые помещения переданы в аренду 8 субъектам малого и среднего предпринимательства</w:t>
      </w:r>
      <w:r w:rsidRPr="00C041F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47F7" w:rsidRPr="00C041FA" w:rsidRDefault="00B0686C" w:rsidP="00DD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2.</w:t>
      </w:r>
      <w:r w:rsidR="009B0B41"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="0013615E" w:rsidRPr="00C041FA">
        <w:rPr>
          <w:rFonts w:ascii="Times New Roman" w:hAnsi="Times New Roman" w:cs="Times New Roman"/>
          <w:sz w:val="24"/>
          <w:szCs w:val="24"/>
        </w:rPr>
        <w:t>О п</w:t>
      </w:r>
      <w:r w:rsidR="004A47F7" w:rsidRPr="00C041FA">
        <w:rPr>
          <w:rFonts w:ascii="Times New Roman" w:hAnsi="Times New Roman" w:cs="Times New Roman"/>
          <w:sz w:val="24"/>
          <w:szCs w:val="24"/>
        </w:rPr>
        <w:t>оказател</w:t>
      </w:r>
      <w:r w:rsidR="0013615E" w:rsidRPr="00C041FA">
        <w:rPr>
          <w:rFonts w:ascii="Times New Roman" w:hAnsi="Times New Roman" w:cs="Times New Roman"/>
          <w:sz w:val="24"/>
          <w:szCs w:val="24"/>
        </w:rPr>
        <w:t>ях</w:t>
      </w:r>
      <w:r w:rsidR="004A47F7" w:rsidRPr="00C041FA">
        <w:rPr>
          <w:rFonts w:ascii="Times New Roman" w:hAnsi="Times New Roman" w:cs="Times New Roman"/>
          <w:sz w:val="24"/>
          <w:szCs w:val="24"/>
        </w:rPr>
        <w:t>, характеризующи</w:t>
      </w:r>
      <w:r w:rsidR="0013615E" w:rsidRPr="00C041FA">
        <w:rPr>
          <w:rFonts w:ascii="Times New Roman" w:hAnsi="Times New Roman" w:cs="Times New Roman"/>
          <w:sz w:val="24"/>
          <w:szCs w:val="24"/>
        </w:rPr>
        <w:t>х</w:t>
      </w:r>
      <w:r w:rsidR="004A47F7" w:rsidRPr="00C041FA">
        <w:rPr>
          <w:rFonts w:ascii="Times New Roman" w:hAnsi="Times New Roman" w:cs="Times New Roman"/>
          <w:sz w:val="24"/>
          <w:szCs w:val="24"/>
        </w:rPr>
        <w:t xml:space="preserve"> состояние экономики и социальной сферы </w:t>
      </w:r>
      <w:proofErr w:type="spellStart"/>
      <w:r w:rsidR="004A47F7"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4A47F7"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за 2021 год.</w:t>
      </w:r>
    </w:p>
    <w:p w:rsidR="004A47F7" w:rsidRPr="00C041FA" w:rsidRDefault="004A47F7" w:rsidP="009C3B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За 2021 год оборот крупных и средних предприятий составил </w:t>
      </w:r>
      <w:r w:rsidR="00472F2A" w:rsidRPr="00C041FA">
        <w:rPr>
          <w:rFonts w:ascii="Times New Roman" w:hAnsi="Times New Roman" w:cs="Times New Roman"/>
          <w:sz w:val="24"/>
          <w:szCs w:val="24"/>
        </w:rPr>
        <w:t>174</w:t>
      </w:r>
      <w:r w:rsidRPr="00C041FA">
        <w:rPr>
          <w:rFonts w:ascii="Times New Roman" w:hAnsi="Times New Roman" w:cs="Times New Roman"/>
          <w:sz w:val="24"/>
          <w:szCs w:val="24"/>
        </w:rPr>
        <w:t>,</w:t>
      </w:r>
      <w:r w:rsidR="00472F2A" w:rsidRPr="00C041FA">
        <w:rPr>
          <w:rFonts w:ascii="Times New Roman" w:hAnsi="Times New Roman" w:cs="Times New Roman"/>
          <w:sz w:val="24"/>
          <w:szCs w:val="24"/>
        </w:rPr>
        <w:t>2</w:t>
      </w:r>
      <w:r w:rsidRPr="00C041FA">
        <w:rPr>
          <w:rFonts w:ascii="Times New Roman" w:hAnsi="Times New Roman" w:cs="Times New Roman"/>
          <w:sz w:val="24"/>
          <w:szCs w:val="24"/>
        </w:rPr>
        <w:t> млрд. руб</w:t>
      </w:r>
      <w:r w:rsidRPr="00C041F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041FA">
        <w:rPr>
          <w:rFonts w:ascii="Times New Roman" w:hAnsi="Times New Roman" w:cs="Times New Roman"/>
          <w:sz w:val="24"/>
          <w:szCs w:val="24"/>
        </w:rPr>
        <w:t xml:space="preserve">или </w:t>
      </w:r>
      <w:r w:rsidR="00472F2A" w:rsidRPr="00C041FA">
        <w:rPr>
          <w:rFonts w:ascii="Times New Roman" w:hAnsi="Times New Roman" w:cs="Times New Roman"/>
          <w:sz w:val="24"/>
          <w:szCs w:val="24"/>
        </w:rPr>
        <w:t>113,4</w:t>
      </w:r>
      <w:r w:rsidRPr="00C041FA">
        <w:rPr>
          <w:rFonts w:ascii="Times New Roman" w:hAnsi="Times New Roman" w:cs="Times New Roman"/>
          <w:sz w:val="24"/>
          <w:szCs w:val="24"/>
        </w:rPr>
        <w:t xml:space="preserve"> % в к соответствующему периоду предыдущего года.</w:t>
      </w:r>
    </w:p>
    <w:p w:rsidR="004A47F7" w:rsidRPr="00C041FA" w:rsidRDefault="004A47F7" w:rsidP="000F4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 структуре оборота города преобладает энергетика, на втором месте строительство, на третьем месте оптовая и розничная торговля, четвертое место занимают обрабатывающие производства и научные исследования и разработки и т.д.</w:t>
      </w:r>
    </w:p>
    <w:p w:rsidR="00196362" w:rsidRPr="00C041FA" w:rsidRDefault="004A47F7" w:rsidP="00D6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В отчетном периоде на территории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функционировали 13 крупных и средних предприятий промышленности. Промышленность объединяет группы отраслей: </w:t>
      </w:r>
      <w:r w:rsidRPr="00C041FA">
        <w:rPr>
          <w:rFonts w:ascii="Times New Roman" w:hAnsi="Times New Roman" w:cs="Times New Roman"/>
          <w:bCs/>
          <w:sz w:val="24"/>
          <w:szCs w:val="24"/>
        </w:rPr>
        <w:t xml:space="preserve">«обрабатывающие производства» (8 ед.), </w:t>
      </w:r>
      <w:r w:rsidRPr="00C041FA">
        <w:rPr>
          <w:rFonts w:ascii="Times New Roman" w:hAnsi="Times New Roman" w:cs="Times New Roman"/>
          <w:sz w:val="24"/>
          <w:szCs w:val="24"/>
        </w:rPr>
        <w:t>«обеспечение электрической энергией, газом и паром, кондиционирование воздуха» (3 ед.), «сбор, обработка и утилизация отходов; обработка вторичного сырья» (2 ед.)</w:t>
      </w:r>
      <w:r w:rsidR="00196362" w:rsidRPr="00C041FA">
        <w:rPr>
          <w:rFonts w:ascii="Times New Roman" w:hAnsi="Times New Roman" w:cs="Times New Roman"/>
          <w:sz w:val="24"/>
          <w:szCs w:val="24"/>
        </w:rPr>
        <w:t xml:space="preserve"> Ведущей строительной организацией на территории </w:t>
      </w:r>
      <w:proofErr w:type="spellStart"/>
      <w:r w:rsidR="00196362"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196362"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является АО «КОНЦЕРН ТИТАН-2».</w:t>
      </w:r>
    </w:p>
    <w:p w:rsidR="004A47F7" w:rsidRPr="00C041FA" w:rsidRDefault="004A47F7" w:rsidP="00F64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 вида экономической деятельности </w:t>
      </w:r>
      <w:r w:rsidRPr="00C041FA">
        <w:rPr>
          <w:rFonts w:ascii="Times New Roman" w:hAnsi="Times New Roman" w:cs="Times New Roman"/>
          <w:bCs/>
          <w:sz w:val="24"/>
          <w:szCs w:val="24"/>
        </w:rPr>
        <w:t>«обеспечение электрической энергией, газом и паром»</w:t>
      </w:r>
      <w:r w:rsidRPr="00C041FA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871BA8" w:rsidRPr="00C041FA">
        <w:rPr>
          <w:rFonts w:ascii="Times New Roman" w:hAnsi="Times New Roman" w:cs="Times New Roman"/>
          <w:sz w:val="24"/>
          <w:szCs w:val="24"/>
        </w:rPr>
        <w:t>116,9</w:t>
      </w:r>
      <w:r w:rsidRPr="00C041FA">
        <w:rPr>
          <w:rFonts w:ascii="Times New Roman" w:hAnsi="Times New Roman" w:cs="Times New Roman"/>
          <w:sz w:val="24"/>
          <w:szCs w:val="24"/>
        </w:rPr>
        <w:t> % от общего объема промышленной продукции округа. Лидирующие позиции занимает Ленинградская атомная станция.</w:t>
      </w:r>
    </w:p>
    <w:p w:rsidR="00C041FA" w:rsidRPr="00C041FA" w:rsidRDefault="0013615E" w:rsidP="00C041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64038190"/>
      <w:bookmarkStart w:id="1" w:name="_Toc65767822"/>
      <w:bookmarkStart w:id="2" w:name="_Toc81574879"/>
      <w:r w:rsidRPr="00C041F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действуют три крупные организации, осуществляющие научные исследования и разработки, как по государственному заказу, так и по договорам с негосударственными заказчиками. Лидерами этой отрасли являются: ФГУП «НИТИ им. А.П. Александрова», АО «НИИ ОЭП».</w:t>
      </w:r>
    </w:p>
    <w:p w:rsidR="00D562E1" w:rsidRPr="00C041FA" w:rsidRDefault="004A47F7" w:rsidP="00C041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Потребительский рынок</w:t>
      </w:r>
      <w:bookmarkEnd w:id="0"/>
      <w:bookmarkEnd w:id="1"/>
      <w:bookmarkEnd w:id="2"/>
      <w:r w:rsidRPr="00C041FA">
        <w:rPr>
          <w:rFonts w:ascii="Times New Roman" w:hAnsi="Times New Roman" w:cs="Times New Roman"/>
          <w:sz w:val="24"/>
          <w:szCs w:val="24"/>
        </w:rPr>
        <w:t xml:space="preserve"> и предпринимательство</w:t>
      </w:r>
      <w:r w:rsidR="002F573E" w:rsidRPr="00C041FA">
        <w:rPr>
          <w:rFonts w:ascii="Times New Roman" w:hAnsi="Times New Roman" w:cs="Times New Roman"/>
          <w:sz w:val="24"/>
          <w:szCs w:val="24"/>
        </w:rPr>
        <w:t>.</w:t>
      </w:r>
    </w:p>
    <w:p w:rsidR="004A47F7" w:rsidRPr="00C041FA" w:rsidRDefault="004A47F7" w:rsidP="00D562E1">
      <w:pPr>
        <w:pStyle w:val="2"/>
        <w:ind w:firstLine="708"/>
        <w:jc w:val="both"/>
        <w:rPr>
          <w:b w:val="0"/>
          <w:sz w:val="24"/>
          <w:szCs w:val="24"/>
        </w:rPr>
      </w:pPr>
      <w:r w:rsidRPr="00C041FA">
        <w:rPr>
          <w:b w:val="0"/>
          <w:sz w:val="24"/>
          <w:szCs w:val="24"/>
        </w:rPr>
        <w:t>Система потребительского рынка товаров и услуг – одна из важнейших и наиболее развивающихся отраслей городского округа, призванная стабильно и на высоком уровне обеспечивать жителей городского округа товарами и услугами. Потребительский рынок городского округа характеризуется как стабильный и устойчивый, имеющий достаточно высокую степень товарного насыщения.</w:t>
      </w:r>
    </w:p>
    <w:p w:rsidR="00F64270" w:rsidRPr="00C041FA" w:rsidRDefault="004A47F7" w:rsidP="00F642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  <w:t xml:space="preserve">В отчётном периоде обеспеченность населения городского округа площадью стационарных торговых объектов на 1000 жителей составила 921кв.м. или 147% от установленного норматива для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F64270" w:rsidRPr="00C041FA" w:rsidRDefault="00F64270" w:rsidP="00F642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</w:r>
      <w:r w:rsidR="004A47F7" w:rsidRPr="00C041FA">
        <w:rPr>
          <w:rFonts w:ascii="Times New Roman" w:hAnsi="Times New Roman" w:cs="Times New Roman"/>
          <w:sz w:val="24"/>
          <w:szCs w:val="24"/>
        </w:rPr>
        <w:t xml:space="preserve">Потребительский рынок городского округа представлен такими современными торговыми форматами как гипермаркеты, супермаркеты, специализированные продовольственные и непродовольственные магазины, магазины у дома. </w:t>
      </w:r>
      <w:proofErr w:type="gramStart"/>
      <w:r w:rsidR="004A47F7" w:rsidRPr="00C041FA">
        <w:rPr>
          <w:rFonts w:ascii="Times New Roman" w:hAnsi="Times New Roman" w:cs="Times New Roman"/>
          <w:sz w:val="24"/>
          <w:szCs w:val="24"/>
        </w:rPr>
        <w:t>На территории городского округа действует более 20 торговых сетей, крупнейшими из которых являются «Магнит» (1</w:t>
      </w:r>
      <w:r w:rsidR="00330425" w:rsidRPr="00C041FA">
        <w:rPr>
          <w:rFonts w:ascii="Times New Roman" w:hAnsi="Times New Roman" w:cs="Times New Roman"/>
          <w:sz w:val="24"/>
          <w:szCs w:val="24"/>
        </w:rPr>
        <w:t>3</w:t>
      </w:r>
      <w:r w:rsidR="004A47F7" w:rsidRPr="00C041FA">
        <w:rPr>
          <w:rFonts w:ascii="Times New Roman" w:hAnsi="Times New Roman" w:cs="Times New Roman"/>
          <w:sz w:val="24"/>
          <w:szCs w:val="24"/>
        </w:rPr>
        <w:t xml:space="preserve"> магазинов), «</w:t>
      </w:r>
      <w:proofErr w:type="spellStart"/>
      <w:r w:rsidR="004A47F7" w:rsidRPr="00C041FA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="004A47F7" w:rsidRPr="00C041FA">
        <w:rPr>
          <w:rFonts w:ascii="Times New Roman" w:hAnsi="Times New Roman" w:cs="Times New Roman"/>
          <w:sz w:val="24"/>
          <w:szCs w:val="24"/>
        </w:rPr>
        <w:t>» (12 магазинов), «Верный» (</w:t>
      </w:r>
      <w:r w:rsidR="00330425" w:rsidRPr="00C041FA">
        <w:rPr>
          <w:rFonts w:ascii="Times New Roman" w:hAnsi="Times New Roman" w:cs="Times New Roman"/>
          <w:sz w:val="24"/>
          <w:szCs w:val="24"/>
        </w:rPr>
        <w:t>6</w:t>
      </w:r>
      <w:r w:rsidR="004A47F7" w:rsidRPr="00C041FA">
        <w:rPr>
          <w:rFonts w:ascii="Times New Roman" w:hAnsi="Times New Roman" w:cs="Times New Roman"/>
          <w:sz w:val="24"/>
          <w:szCs w:val="24"/>
        </w:rPr>
        <w:t xml:space="preserve"> магазинов), «Пятерочка» (2 магазина»), «Перекресток» (2 магазина), «Лента» (2 магазина), «</w:t>
      </w:r>
      <w:proofErr w:type="spellStart"/>
      <w:r w:rsidR="004A47F7" w:rsidRPr="00C041FA">
        <w:rPr>
          <w:rFonts w:ascii="Times New Roman" w:hAnsi="Times New Roman" w:cs="Times New Roman"/>
          <w:sz w:val="24"/>
          <w:szCs w:val="24"/>
        </w:rPr>
        <w:t>Вимос</w:t>
      </w:r>
      <w:proofErr w:type="spellEnd"/>
      <w:r w:rsidR="004A47F7" w:rsidRPr="00C041FA">
        <w:rPr>
          <w:rFonts w:ascii="Times New Roman" w:hAnsi="Times New Roman" w:cs="Times New Roman"/>
          <w:sz w:val="24"/>
          <w:szCs w:val="24"/>
        </w:rPr>
        <w:t>» (1 магазин).</w:t>
      </w:r>
      <w:proofErr w:type="gramEnd"/>
    </w:p>
    <w:p w:rsidR="004A47F7" w:rsidRPr="00C041FA" w:rsidRDefault="00F64270" w:rsidP="00F642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</w:r>
      <w:r w:rsidR="004A47F7" w:rsidRPr="00C041FA">
        <w:rPr>
          <w:rFonts w:ascii="Times New Roman" w:hAnsi="Times New Roman" w:cs="Times New Roman"/>
          <w:sz w:val="24"/>
          <w:szCs w:val="24"/>
        </w:rPr>
        <w:t xml:space="preserve">В настоящее время действуют 276 объектов стационарной розничной торговли, 120 нестационарных торговых объектов (павильонов, киосков, мобильных торговых объектов), розничный универсальный рынок. </w:t>
      </w:r>
    </w:p>
    <w:p w:rsidR="004A47F7" w:rsidRPr="00C041FA" w:rsidRDefault="004A47F7" w:rsidP="00F642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Развитие предпринимательства на территории </w:t>
      </w:r>
      <w:proofErr w:type="spellStart"/>
      <w:r w:rsidRPr="00C041FA">
        <w:rPr>
          <w:rFonts w:ascii="Times New Roman" w:hAnsi="Times New Roman" w:cs="Times New Roman"/>
          <w:sz w:val="24"/>
          <w:szCs w:val="24"/>
          <w:lang w:eastAsia="ar-SA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 остается одним из основных направлений повышения социальной стабильности, обеспечения экономического роста.</w:t>
      </w:r>
      <w:r w:rsidRPr="00C041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47F7" w:rsidRPr="00C041FA" w:rsidRDefault="004A47F7" w:rsidP="004A47F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1FA">
        <w:rPr>
          <w:rFonts w:ascii="Times New Roman" w:hAnsi="Times New Roman" w:cs="Times New Roman"/>
          <w:sz w:val="24"/>
          <w:szCs w:val="24"/>
          <w:lang w:eastAsia="ar-SA"/>
        </w:rPr>
        <w:t>По данным Единого реестра субъектов малого и среднего предпринимательства Федеральной налоговой службы России по состоянию на 10.0</w:t>
      </w:r>
      <w:r w:rsidR="00EF4FFD" w:rsidRPr="00C041F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C041FA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="00EF4FFD" w:rsidRPr="00C041F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 года на территории </w:t>
      </w:r>
      <w:proofErr w:type="spellStart"/>
      <w:r w:rsidRPr="00C041F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 зарегистрировано всего </w:t>
      </w:r>
      <w:r w:rsidR="00EF4FFD" w:rsidRPr="00C041FA">
        <w:rPr>
          <w:rFonts w:ascii="Times New Roman" w:hAnsi="Times New Roman" w:cs="Times New Roman"/>
          <w:sz w:val="24"/>
          <w:szCs w:val="24"/>
          <w:lang w:eastAsia="ar-SA"/>
        </w:rPr>
        <w:t>1931</w:t>
      </w:r>
      <w:r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 СМП, в том числе: </w:t>
      </w:r>
      <w:r w:rsidR="00EF4FFD" w:rsidRPr="00C041FA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C041FA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средних предприятий, 60 малых организаций, </w:t>
      </w:r>
      <w:r w:rsidR="00EF4FFD" w:rsidRPr="00C041FA">
        <w:rPr>
          <w:rFonts w:ascii="Times New Roman" w:hAnsi="Times New Roman" w:cs="Times New Roman"/>
          <w:sz w:val="24"/>
          <w:szCs w:val="24"/>
          <w:lang w:eastAsia="ar-SA"/>
        </w:rPr>
        <w:t>1861</w:t>
      </w:r>
      <w:r w:rsidR="00165A04"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041FA">
        <w:rPr>
          <w:rFonts w:ascii="Times New Roman" w:hAnsi="Times New Roman" w:cs="Times New Roman"/>
          <w:sz w:val="24"/>
          <w:szCs w:val="24"/>
          <w:lang w:eastAsia="ar-SA"/>
        </w:rPr>
        <w:t>микропредприятий</w:t>
      </w:r>
      <w:proofErr w:type="spellEnd"/>
      <w:r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 (в том числе 54</w:t>
      </w:r>
      <w:r w:rsidR="00EF4FFD" w:rsidRPr="00C041F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 юридических лица и </w:t>
      </w:r>
      <w:r w:rsidR="00EF4FFD" w:rsidRPr="00C041FA">
        <w:rPr>
          <w:rFonts w:ascii="Times New Roman" w:hAnsi="Times New Roman" w:cs="Times New Roman"/>
          <w:sz w:val="24"/>
          <w:szCs w:val="24"/>
          <w:lang w:eastAsia="ar-SA"/>
        </w:rPr>
        <w:t>1317</w:t>
      </w:r>
      <w:r w:rsidRPr="00C041FA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индивидуальных предпринимателей).</w:t>
      </w:r>
    </w:p>
    <w:p w:rsidR="004A47F7" w:rsidRPr="00C041FA" w:rsidRDefault="004A47F7" w:rsidP="004A47F7">
      <w:pPr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Сельское хозяйство</w:t>
      </w:r>
      <w:r w:rsidR="002F573E" w:rsidRPr="00C041FA">
        <w:rPr>
          <w:rFonts w:ascii="Times New Roman" w:hAnsi="Times New Roman" w:cs="Times New Roman"/>
          <w:sz w:val="24"/>
          <w:szCs w:val="24"/>
        </w:rPr>
        <w:t>.</w:t>
      </w:r>
    </w:p>
    <w:p w:rsidR="00F64270" w:rsidRPr="00C041FA" w:rsidRDefault="004A47F7" w:rsidP="00F6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 отчетном периоде не анализируются показатели сферы «Сельское хозяйство» в связи с отсутствием сельхозпроизводителей, относящихся к категории «крупные и средние предприятия». В муниципальном образовании отсутствуют земли сельскохозяйственного назначения.</w:t>
      </w:r>
    </w:p>
    <w:p w:rsidR="004A47F7" w:rsidRPr="00C041FA" w:rsidRDefault="004A47F7" w:rsidP="00F6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Агропромышленный комплекс города представлен тепличным комплексом – ООО «Агрофирма «ГРИН», организацией рыбоводства – ООО «Рыбная Федерация», кроме того на территории округа зарегистрированы: </w:t>
      </w:r>
    </w:p>
    <w:p w:rsidR="004A47F7" w:rsidRPr="00C041FA" w:rsidRDefault="004A47F7" w:rsidP="00F6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 - 136 правообладателей (собственники, землепользователи, землевладельцы и арендаторы) на земельных участках </w:t>
      </w:r>
      <w:r w:rsidRPr="00C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видом использования – для ведения личного подсобного хозяйства (ЛПХ);</w:t>
      </w:r>
      <w:r w:rsidRPr="00C0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70" w:rsidRPr="00C041FA" w:rsidRDefault="004A47F7" w:rsidP="00F6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садоводческие, дачные и огороднические некоммерческие товарищества (СНТ, ДНТ, ОНТ), садоводческие товарищества (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>) и садоводческие потребительские кооперативы (СПК) – всего 63 единицы;</w:t>
      </w:r>
    </w:p>
    <w:p w:rsidR="004A47F7" w:rsidRPr="00C041FA" w:rsidRDefault="004A47F7" w:rsidP="00F6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- 4 действующих крестьянских фермерских хозяйств,</w:t>
      </w:r>
    </w:p>
    <w:p w:rsidR="004A47F7" w:rsidRPr="00C041FA" w:rsidRDefault="004A47F7" w:rsidP="00F6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один сельскохозяйственный потребительский кооператив.</w:t>
      </w:r>
    </w:p>
    <w:p w:rsidR="004A47F7" w:rsidRPr="00C041FA" w:rsidRDefault="004A47F7" w:rsidP="004A47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78970818"/>
      <w:bookmarkStart w:id="4" w:name="_Toc81574882"/>
      <w:r w:rsidRPr="00C041FA">
        <w:rPr>
          <w:rFonts w:ascii="Times New Roman" w:hAnsi="Times New Roman" w:cs="Times New Roman"/>
          <w:b w:val="0"/>
          <w:color w:val="auto"/>
          <w:sz w:val="24"/>
          <w:szCs w:val="24"/>
        </w:rPr>
        <w:t>Социальная сфера</w:t>
      </w:r>
      <w:bookmarkEnd w:id="3"/>
      <w:bookmarkEnd w:id="4"/>
    </w:p>
    <w:p w:rsidR="004A47F7" w:rsidRPr="00C041FA" w:rsidRDefault="004A47F7" w:rsidP="004A47F7">
      <w:pPr>
        <w:pStyle w:val="2"/>
        <w:rPr>
          <w:b w:val="0"/>
          <w:sz w:val="24"/>
          <w:szCs w:val="24"/>
        </w:rPr>
      </w:pPr>
      <w:bookmarkStart w:id="5" w:name="_Toc64038199"/>
      <w:bookmarkStart w:id="6" w:name="_Toc65767831"/>
      <w:bookmarkStart w:id="7" w:name="_Toc81574883"/>
      <w:r w:rsidRPr="00C041FA">
        <w:rPr>
          <w:b w:val="0"/>
          <w:sz w:val="24"/>
          <w:szCs w:val="24"/>
        </w:rPr>
        <w:t>Образование</w:t>
      </w:r>
      <w:bookmarkEnd w:id="5"/>
      <w:bookmarkEnd w:id="6"/>
      <w:bookmarkEnd w:id="7"/>
      <w:r w:rsidR="002F573E" w:rsidRPr="00C041FA">
        <w:rPr>
          <w:b w:val="0"/>
          <w:sz w:val="24"/>
          <w:szCs w:val="24"/>
        </w:rPr>
        <w:t>.</w:t>
      </w:r>
    </w:p>
    <w:p w:rsidR="004A47F7" w:rsidRPr="00C041FA" w:rsidRDefault="004A47F7" w:rsidP="004A47F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222304986"/>
      <w:bookmarkStart w:id="9" w:name="_Toc262627983"/>
      <w:bookmarkStart w:id="10" w:name="_Toc284593029"/>
    </w:p>
    <w:p w:rsidR="004A47F7" w:rsidRPr="00C041FA" w:rsidRDefault="004A47F7" w:rsidP="004A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64038200"/>
      <w:bookmarkStart w:id="12" w:name="_Toc65767832"/>
      <w:r w:rsidRPr="00C041FA">
        <w:rPr>
          <w:rFonts w:ascii="Times New Roman" w:hAnsi="Times New Roman" w:cs="Times New Roman"/>
          <w:sz w:val="24"/>
          <w:szCs w:val="24"/>
        </w:rPr>
        <w:t>Городская образовательная сеть включает: 9 муниципальных общеобразовательных учреждений, в том числе гимназию, лицей, школу с углубленным изучением английского языка, 14 дошкольных образовательных учреждений, в том числе 3 центра развития ребенка, 4 учреждения дополнительного образования.</w:t>
      </w:r>
    </w:p>
    <w:p w:rsidR="004A47F7" w:rsidRPr="00C041FA" w:rsidRDefault="004A47F7" w:rsidP="004A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 2021 году в 9 муниципальных общеобразовательных учреждениях обучается 6222 человека.</w:t>
      </w:r>
      <w:r w:rsidR="009B0B41"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Pr="00C041FA">
        <w:rPr>
          <w:rFonts w:ascii="Times New Roman" w:hAnsi="Times New Roman" w:cs="Times New Roman"/>
          <w:sz w:val="24"/>
          <w:szCs w:val="24"/>
        </w:rPr>
        <w:t>Дошкольные образовательные учреждения города посещают 3 677 детей.</w:t>
      </w:r>
    </w:p>
    <w:p w:rsidR="004A47F7" w:rsidRPr="00C041FA" w:rsidRDefault="004A47F7" w:rsidP="004A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оказали услуги на бесплатной основе 5 676 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>.</w:t>
      </w:r>
    </w:p>
    <w:p w:rsidR="004A47F7" w:rsidRPr="00C041FA" w:rsidRDefault="004A47F7" w:rsidP="004A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 города работают 907 педагогических работников, в том числе в МБОУ - 414 чел. (из них учителей – 382 чел.), МБДОУ - 421 чел. (из них воспитателей – 316 чел.), МБОУ ДО - 89 чел.</w:t>
      </w:r>
    </w:p>
    <w:p w:rsidR="004A47F7" w:rsidRPr="00C041FA" w:rsidRDefault="004A47F7" w:rsidP="004A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Система образования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функционирует в 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 развития в соответствии с направлениями, определенными муниципальной программой «Современное образование в Сосновоборском городском округе». </w:t>
      </w:r>
    </w:p>
    <w:p w:rsidR="004A47F7" w:rsidRPr="00C041FA" w:rsidRDefault="004A47F7" w:rsidP="00BF0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_Toc222304989"/>
      <w:bookmarkStart w:id="14" w:name="_Toc262627985"/>
      <w:bookmarkStart w:id="15" w:name="_Toc284593031"/>
      <w:bookmarkEnd w:id="8"/>
      <w:bookmarkEnd w:id="9"/>
      <w:bookmarkEnd w:id="10"/>
      <w:bookmarkEnd w:id="11"/>
      <w:bookmarkEnd w:id="12"/>
      <w:r w:rsidRPr="00C041FA">
        <w:rPr>
          <w:rFonts w:ascii="Times New Roman" w:hAnsi="Times New Roman" w:cs="Times New Roman"/>
          <w:sz w:val="24"/>
          <w:szCs w:val="24"/>
        </w:rPr>
        <w:t>Сеть учреждений и организаций социальной защиты населения</w:t>
      </w:r>
      <w:r w:rsidR="002F573E" w:rsidRPr="00C041FA">
        <w:rPr>
          <w:rFonts w:ascii="Times New Roman" w:hAnsi="Times New Roman" w:cs="Times New Roman"/>
          <w:sz w:val="24"/>
          <w:szCs w:val="24"/>
        </w:rPr>
        <w:t>.</w:t>
      </w:r>
    </w:p>
    <w:p w:rsidR="004A47F7" w:rsidRPr="00C041FA" w:rsidRDefault="004A47F7" w:rsidP="00BF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Система социального обслуживания населения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представлена:</w:t>
      </w:r>
    </w:p>
    <w:p w:rsidR="004A47F7" w:rsidRPr="00C041FA" w:rsidRDefault="004A47F7" w:rsidP="00BF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- Отделом социальных программ администрации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области;  </w:t>
      </w:r>
    </w:p>
    <w:p w:rsidR="004A47F7" w:rsidRPr="00C041FA" w:rsidRDefault="004A47F7" w:rsidP="00BF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ЛОГКУ «Центр социальной защиты населения»  (ЛОГКУ «ЦСЗН») филиал в Сосновоборском городском округе;</w:t>
      </w:r>
    </w:p>
    <w:p w:rsidR="004A47F7" w:rsidRPr="00C041FA" w:rsidRDefault="004A47F7" w:rsidP="00BF0BB7">
      <w:pPr>
        <w:pStyle w:val="a8"/>
        <w:ind w:firstLine="709"/>
      </w:pPr>
      <w:r w:rsidRPr="00C041FA">
        <w:t xml:space="preserve">- ЛОГАУ «Сосновоборский комплексный центр социального обслуживания населения» (ЛОГАУ «Сосновоборский КЦСОН»). </w:t>
      </w:r>
    </w:p>
    <w:p w:rsidR="004A47F7" w:rsidRPr="00C041FA" w:rsidRDefault="004A47F7" w:rsidP="00BF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1FA">
        <w:rPr>
          <w:rFonts w:ascii="Times New Roman" w:hAnsi="Times New Roman" w:cs="Times New Roman"/>
          <w:sz w:val="24"/>
          <w:szCs w:val="24"/>
        </w:rPr>
        <w:t xml:space="preserve">ЛОГАУ «Сосновоборский КЦСОН» предоставляет услуги населению в соответствии с нормами Федерального закона от 28 декабря 2013 года № 442-ФЗ "Об основах социального обслуживания граждан в Российской Федерации" (с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. и доп.) и областного закона от 17.11.2017 N 72-оз "Социальный кодекс Ленинградской области» (с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.) в следующих формах: социальное обслуживание на дому,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полустационарная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форма, стационарная форма с временным проживанием, а также срочные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 социальные услуги. </w:t>
      </w:r>
    </w:p>
    <w:p w:rsidR="004A47F7" w:rsidRPr="00C041FA" w:rsidRDefault="004A47F7" w:rsidP="004A47F7">
      <w:pPr>
        <w:pStyle w:val="a8"/>
        <w:ind w:firstLine="720"/>
      </w:pPr>
      <w:r w:rsidRPr="00C041FA">
        <w:rPr>
          <w:b/>
        </w:rPr>
        <w:lastRenderedPageBreak/>
        <w:t xml:space="preserve"> </w:t>
      </w:r>
      <w:r w:rsidRPr="00C041FA">
        <w:t>Сеть учреждений и организаций здравоохранения</w:t>
      </w:r>
      <w:r w:rsidR="002F573E" w:rsidRPr="00C041FA">
        <w:t>.</w:t>
      </w:r>
    </w:p>
    <w:p w:rsidR="004A47F7" w:rsidRPr="00C041FA" w:rsidRDefault="004A47F7" w:rsidP="004A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1FA">
        <w:rPr>
          <w:rFonts w:ascii="Times New Roman" w:hAnsi="Times New Roman" w:cs="Times New Roman"/>
          <w:sz w:val="24"/>
          <w:szCs w:val="24"/>
        </w:rPr>
        <w:t>В системе здравоохранения города сохраняется существующая структура, охватывающая все необходимые направления деятельности - лечебно-профилактическую, фармакологическую, санитарно-противоэпидемиологическую, а именно: лечебно-профилактическое учреждение 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(далее - ФГБУЗ ЦМСЧ № 38 ФМБА России или ЦМСЧ № 38), санаторий-профилакторий  «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Копанское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>» филиала концерна «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>» «ЛАС»; 12 здравпунктов на предприятиях;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 16 аптек и 18 аптечных пунктов; представительства 3 страховых медицинских организаций; 11 частнопрактикующих медицинских учреждений: стоматологические «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>», «КЭС «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СБорДент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>», «Сонет», медицинские центры «Здоровье», «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>», «Панацея», «Меридиан», «Центр медицинских анализов», «Центр семейной медицины «ТИТАНМЕД», «ПРОФМЕД», «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СБорМед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Pr="00C041F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F7" w:rsidRPr="00C041FA" w:rsidRDefault="004A47F7" w:rsidP="004A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Контроль за санитарно-эпидемиологическим состоянием города осуществляют: Территориальный отдел Межрегионального управления № 122 ФМБА России по г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основый Бор Ленинградской области, Федеральное государственное бюджетное учреждение здравоохранения Центр гигиены и эпидемиологии № 38 ФМБА России. </w:t>
      </w:r>
    </w:p>
    <w:p w:rsidR="004A47F7" w:rsidRPr="00C041FA" w:rsidRDefault="004A47F7" w:rsidP="004A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В соответствии с полученной лицензией ФГБУЗ ЦМСЧ № 38 ФМБА России имеет право оказывать порядка 100 видов медицинской помощи в амбулаторно-поликлинических и стационарных условиях, осуществлять экспертную деятельность, фармацевтическую деятельность, в т.ч. связанную с оборотом наркотических средств и психотропных веществ, и др. </w:t>
      </w:r>
    </w:p>
    <w:p w:rsidR="004A47F7" w:rsidRPr="00C041FA" w:rsidRDefault="004A47F7" w:rsidP="004A47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 состав ЦМСЧ № 38 входят две поликлиники – городская (взрослая) и детская; стационар на 364 круглосуточные койки</w:t>
      </w:r>
      <w:r w:rsidRPr="00C041F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041FA">
        <w:rPr>
          <w:rFonts w:ascii="Times New Roman" w:hAnsi="Times New Roman" w:cs="Times New Roman"/>
          <w:sz w:val="24"/>
          <w:szCs w:val="24"/>
        </w:rPr>
        <w:t xml:space="preserve"> отделение дневного пребывания на 37 койки</w:t>
      </w:r>
      <w:r w:rsidRPr="00C041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041FA">
        <w:rPr>
          <w:rFonts w:ascii="Times New Roman" w:hAnsi="Times New Roman" w:cs="Times New Roman"/>
          <w:sz w:val="24"/>
          <w:szCs w:val="24"/>
        </w:rPr>
        <w:t xml:space="preserve"> Обеспеченность койками круглосуточного стационара на 10 000 населения – 53,8</w:t>
      </w:r>
      <w:r w:rsidRPr="00C041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0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F7" w:rsidRPr="00C041FA" w:rsidRDefault="004A47F7" w:rsidP="004A47F7">
      <w:pPr>
        <w:tabs>
          <w:tab w:val="left" w:pos="709"/>
          <w:tab w:val="left" w:pos="8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222304990"/>
      <w:bookmarkStart w:id="17" w:name="_Toc262627986"/>
      <w:bookmarkStart w:id="18" w:name="_Toc284593032"/>
      <w:bookmarkEnd w:id="13"/>
      <w:bookmarkEnd w:id="14"/>
      <w:bookmarkEnd w:id="15"/>
      <w:r w:rsidRPr="00C041FA">
        <w:rPr>
          <w:rFonts w:ascii="Times New Roman" w:hAnsi="Times New Roman" w:cs="Times New Roman"/>
          <w:sz w:val="24"/>
          <w:szCs w:val="24"/>
        </w:rPr>
        <w:t>Сеть учреждений сферы культуры, уровень обеспеченности отрасли сетью учреждений.</w:t>
      </w:r>
    </w:p>
    <w:p w:rsidR="004A47F7" w:rsidRPr="00C041FA" w:rsidRDefault="004A47F7" w:rsidP="004A47F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Сеть муниципальных учреждений культуры - 10 учреждений, осталась неизменной, по сравнению с аналогичным периодом прошлого года.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значения. </w:t>
      </w:r>
    </w:p>
    <w:p w:rsidR="004A47F7" w:rsidRPr="00C041FA" w:rsidRDefault="004A47F7" w:rsidP="004A47F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 учреждениях культуры работает 15 работников культуры со званием «Заслуженный работник культуры Российской Федерации», 11 имеют нагрудный знак Министерства культуры Российской Федерации, 21 творческий коллектив имеет звание «Народный» и «Образцовый».</w:t>
      </w:r>
    </w:p>
    <w:p w:rsidR="004A47F7" w:rsidRPr="00C041FA" w:rsidRDefault="004A47F7" w:rsidP="004A47F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64038203"/>
      <w:bookmarkStart w:id="20" w:name="_Toc222304993"/>
      <w:bookmarkStart w:id="21" w:name="_Toc284574147"/>
      <w:bookmarkStart w:id="22" w:name="_Toc331521122"/>
      <w:bookmarkEnd w:id="16"/>
      <w:bookmarkEnd w:id="17"/>
      <w:bookmarkEnd w:id="18"/>
      <w:r w:rsidRPr="00C041FA">
        <w:rPr>
          <w:rFonts w:ascii="Times New Roman" w:hAnsi="Times New Roman" w:cs="Times New Roman"/>
          <w:sz w:val="24"/>
          <w:szCs w:val="24"/>
        </w:rPr>
        <w:t>Сеть учреждений физической культуры и спорта.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функционирует 201 спортивный объект с единовременной пропускной способностью</w:t>
      </w:r>
      <w:r w:rsidRPr="00C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1FA">
        <w:rPr>
          <w:rFonts w:ascii="Times New Roman" w:hAnsi="Times New Roman" w:cs="Times New Roman"/>
          <w:sz w:val="24"/>
          <w:szCs w:val="24"/>
        </w:rPr>
        <w:t xml:space="preserve">4201 человек. 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 перечень объектов входят: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- 4 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 комплекса общей площадью 28434,7 кв. м; 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- 37 спортивных залов общей площадью 12 268 кв. м;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- 51 плоскостное спортивное сооружение общей площадью 62 404 кв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>;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- 4 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плавательных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 бассейна общей площадью 470 кв. м;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- 2 лыжные базы;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- 5 сооружений для стрелковых видов спорта;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- 36 других спортивных сооружений.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Реализацией мероприятий по развитию в округе массовой физической культуры и спорта занимаются два учреждения подведомственные Комитету образования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lastRenderedPageBreak/>
        <w:t>- муниципальное бюджетное образовательное учреждение дополнительного образования «Детско-юношеская спортивная школа»,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муниципальное бюджетное образовательное учреждение дополнительного образования «Дом детского туризма и экскурсий «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>»,</w:t>
      </w:r>
    </w:p>
    <w:p w:rsidR="004A47F7" w:rsidRPr="00C041FA" w:rsidRDefault="004A47F7" w:rsidP="00BF0B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Подведомственным учреждением отдела по физической культуре и спорту для решения этих задач является муниципальное автономное образовательное учреждение дополнительного образования Спортивно-культурный комплекс «Малахит». </w:t>
      </w:r>
    </w:p>
    <w:p w:rsidR="004A47F7" w:rsidRPr="00C041FA" w:rsidRDefault="004A47F7" w:rsidP="00BF0B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На территории города развивается более 50 видов спорта. Численность занимающихся в </w:t>
      </w:r>
      <w:proofErr w:type="gramStart"/>
      <w:r w:rsidRPr="00C041FA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C041FA">
        <w:rPr>
          <w:rFonts w:ascii="Times New Roman" w:hAnsi="Times New Roman" w:cs="Times New Roman"/>
          <w:sz w:val="24"/>
          <w:szCs w:val="24"/>
        </w:rPr>
        <w:t xml:space="preserve"> составляет 26062 человек. </w:t>
      </w:r>
    </w:p>
    <w:bookmarkEnd w:id="19"/>
    <w:bookmarkEnd w:id="20"/>
    <w:bookmarkEnd w:id="21"/>
    <w:bookmarkEnd w:id="22"/>
    <w:p w:rsidR="004A47F7" w:rsidRPr="00C041FA" w:rsidRDefault="004A47F7" w:rsidP="004A47F7">
      <w:pPr>
        <w:pStyle w:val="21"/>
        <w:ind w:firstLine="567"/>
      </w:pPr>
      <w:r w:rsidRPr="00C041FA">
        <w:t>Сеть учреждений в сфере молодёжной политики.</w:t>
      </w:r>
    </w:p>
    <w:p w:rsidR="004A47F7" w:rsidRPr="00C041FA" w:rsidRDefault="004A47F7" w:rsidP="004A47F7">
      <w:pPr>
        <w:pStyle w:val="21"/>
        <w:ind w:firstLine="567"/>
        <w:rPr>
          <w:b/>
        </w:rPr>
      </w:pPr>
    </w:p>
    <w:p w:rsidR="004A47F7" w:rsidRPr="00C041FA" w:rsidRDefault="004A47F7" w:rsidP="004A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В 2021 году в работе с молодыми жителями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использ</w:t>
      </w:r>
      <w:r w:rsidR="00155E63" w:rsidRPr="00C041FA">
        <w:rPr>
          <w:rFonts w:ascii="Times New Roman" w:hAnsi="Times New Roman" w:cs="Times New Roman"/>
          <w:sz w:val="24"/>
          <w:szCs w:val="24"/>
        </w:rPr>
        <w:t>овался</w:t>
      </w:r>
      <w:r w:rsidRPr="00C041FA">
        <w:rPr>
          <w:rFonts w:ascii="Times New Roman" w:hAnsi="Times New Roman" w:cs="Times New Roman"/>
          <w:sz w:val="24"/>
          <w:szCs w:val="24"/>
        </w:rPr>
        <w:t xml:space="preserve"> комплексный подход в реализации государственной молодёжной политики.</w:t>
      </w:r>
    </w:p>
    <w:p w:rsidR="004A47F7" w:rsidRPr="00C041FA" w:rsidRDefault="004A47F7" w:rsidP="009C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 целях осуществления деятельности, направленной на создание эффективной системы реализации молодёжной политики, подготовку и проведение молодёжных и спортивно-массовых мероприятий продолжает функционировать муниципальное автономное учреждение «Молодёжный Центр «Диалог».</w:t>
      </w:r>
    </w:p>
    <w:p w:rsidR="004A47F7" w:rsidRPr="00C041FA" w:rsidRDefault="004A47F7" w:rsidP="004A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 рамках содействия трудовой адаптации и занятости молодёжи трудоустроено 287 человек (на 223 человек больше, чем в отчетный период 2020 года). Из них 1 бригады патронажной службы по оказанию посильной помощи ветеранам, людям с ограниченными возможностями здоровья и людям пожилого возраста в количестве 10 подростков и 5 бригад молодых людей с ограниченными возможностями здоровья в количестве 49 человек.</w:t>
      </w:r>
    </w:p>
    <w:p w:rsidR="004A47F7" w:rsidRPr="00C041FA" w:rsidRDefault="004A47F7" w:rsidP="004A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На базе отдела по молодёжной политике администрации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продолжал функционировать волонтёрский штаб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по оказанию помощи людям, находящимся в вынужденной самоизоляции. Ежедневно проводится инструктаж по технике безопасности волонтёров, отслеживалось состояние здоровья и измерение температуры волонтёров, предоставлялся транспорт для мобильности и безопасности добровольцев, была создана и оптимизирована работа горячей линии, налажена система доставки продуктов питания и лекарств жителям города Сосновый Бор. </w:t>
      </w:r>
    </w:p>
    <w:p w:rsidR="00DE5A44" w:rsidRPr="00C041FA" w:rsidRDefault="004A47F7" w:rsidP="00DE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реализуются </w:t>
      </w:r>
      <w:r w:rsidR="00430E50" w:rsidRPr="00C041FA">
        <w:rPr>
          <w:rFonts w:ascii="Times New Roman" w:hAnsi="Times New Roman" w:cs="Times New Roman"/>
          <w:sz w:val="24"/>
          <w:szCs w:val="24"/>
        </w:rPr>
        <w:t>мероприятия</w:t>
      </w:r>
      <w:r w:rsidRPr="00C041FA">
        <w:rPr>
          <w:rFonts w:ascii="Times New Roman" w:hAnsi="Times New Roman" w:cs="Times New Roman"/>
          <w:sz w:val="24"/>
          <w:szCs w:val="24"/>
        </w:rPr>
        <w:t xml:space="preserve"> региональных проектов «Добрый сосед» и «Тележка добра», а также проект Федерального агентства по делам молодёжи «Мы вместе».</w:t>
      </w:r>
    </w:p>
    <w:p w:rsidR="004A47F7" w:rsidRPr="00C041FA" w:rsidRDefault="00B0686C" w:rsidP="00DE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Style w:val="ab"/>
          <w:rFonts w:ascii="Times New Roman" w:hAnsi="Times New Roman" w:cs="Times New Roman"/>
          <w:sz w:val="24"/>
          <w:szCs w:val="24"/>
        </w:rPr>
        <w:t>3.</w:t>
      </w:r>
      <w:r w:rsidR="00046226" w:rsidRPr="00C041FA">
        <w:rPr>
          <w:rStyle w:val="ab"/>
          <w:rFonts w:ascii="Times New Roman" w:hAnsi="Times New Roman" w:cs="Times New Roman"/>
          <w:sz w:val="24"/>
          <w:szCs w:val="24"/>
        </w:rPr>
        <w:t>О р</w:t>
      </w:r>
      <w:r w:rsidR="00A96E25" w:rsidRPr="00C041FA">
        <w:rPr>
          <w:rStyle w:val="ab"/>
          <w:rFonts w:ascii="Times New Roman" w:hAnsi="Times New Roman" w:cs="Times New Roman"/>
          <w:sz w:val="24"/>
          <w:szCs w:val="24"/>
        </w:rPr>
        <w:t>езультат</w:t>
      </w:r>
      <w:r w:rsidR="00046226" w:rsidRPr="00C041FA">
        <w:rPr>
          <w:rStyle w:val="ab"/>
          <w:rFonts w:ascii="Times New Roman" w:hAnsi="Times New Roman" w:cs="Times New Roman"/>
          <w:sz w:val="24"/>
          <w:szCs w:val="24"/>
        </w:rPr>
        <w:t>ах</w:t>
      </w:r>
      <w:r w:rsidR="00A96E25" w:rsidRPr="00C041FA">
        <w:rPr>
          <w:rStyle w:val="ab"/>
          <w:rFonts w:ascii="Times New Roman" w:hAnsi="Times New Roman" w:cs="Times New Roman"/>
          <w:sz w:val="24"/>
          <w:szCs w:val="24"/>
        </w:rPr>
        <w:t xml:space="preserve"> мониторинга состояния и развития конкурентной среды на территории муниципального образования </w:t>
      </w:r>
      <w:proofErr w:type="spellStart"/>
      <w:r w:rsidR="00A96E25" w:rsidRPr="00C041FA">
        <w:rPr>
          <w:rStyle w:val="ab"/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A96E25" w:rsidRPr="00C041FA">
        <w:rPr>
          <w:rStyle w:val="ab"/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</w:t>
      </w:r>
      <w:r w:rsidR="00BF0BB7" w:rsidRPr="00C041FA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A96E25" w:rsidRPr="00C041FA">
        <w:rPr>
          <w:rStyle w:val="ab"/>
          <w:rFonts w:ascii="Times New Roman" w:hAnsi="Times New Roman" w:cs="Times New Roman"/>
          <w:sz w:val="24"/>
          <w:szCs w:val="24"/>
        </w:rPr>
        <w:t>за 2021 год</w:t>
      </w:r>
      <w:r w:rsidR="002F573E" w:rsidRPr="00C041FA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CF35C7" w:rsidRPr="00C041FA" w:rsidRDefault="00CF35C7" w:rsidP="00BF0BB7">
      <w:pPr>
        <w:pStyle w:val="aa"/>
        <w:ind w:firstLine="709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C041FA">
        <w:rPr>
          <w:rStyle w:val="ab"/>
          <w:rFonts w:ascii="Times New Roman" w:hAnsi="Times New Roman" w:cs="Times New Roman"/>
          <w:sz w:val="24"/>
          <w:szCs w:val="24"/>
        </w:rPr>
        <w:t>Отделом экономического развития проведен опрос субъектов предпринимательской деятельности и потребителей (далее - респондентов) по разработанным 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</w:p>
    <w:p w:rsidR="00CF35C7" w:rsidRPr="00C041FA" w:rsidRDefault="00CF35C7" w:rsidP="00BF0B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CF35C7" w:rsidRPr="00C041FA" w:rsidRDefault="00CF35C7" w:rsidP="00BF0B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анкетировании приняли участие жители </w:t>
      </w:r>
      <w:proofErr w:type="spellStart"/>
      <w:r w:rsidRPr="00C041FA">
        <w:rPr>
          <w:rFonts w:ascii="Times New Roman" w:eastAsia="Calibri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C04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</w:t>
      </w:r>
      <w:r w:rsidR="00430E50" w:rsidRPr="00C041FA">
        <w:rPr>
          <w:rFonts w:ascii="Times New Roman" w:eastAsia="Calibri" w:hAnsi="Times New Roman" w:cs="Times New Roman"/>
          <w:color w:val="000000"/>
          <w:sz w:val="24"/>
          <w:szCs w:val="24"/>
        </w:rPr>
        <w:t>округа,</w:t>
      </w:r>
      <w:r w:rsidRPr="00C04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осуществляющие свою деятельность на территории </w:t>
      </w:r>
      <w:r w:rsidR="00430E50" w:rsidRPr="00C041FA">
        <w:rPr>
          <w:rFonts w:ascii="Times New Roman" w:eastAsia="Calibri" w:hAnsi="Times New Roman" w:cs="Times New Roman"/>
          <w:color w:val="000000"/>
          <w:sz w:val="24"/>
          <w:szCs w:val="24"/>
        </w:rPr>
        <w:t>округа</w:t>
      </w:r>
      <w:r w:rsidRPr="00C04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041FA">
        <w:rPr>
          <w:rFonts w:ascii="Times New Roman" w:hAnsi="Times New Roman" w:cs="Times New Roman"/>
          <w:sz w:val="24"/>
          <w:szCs w:val="24"/>
        </w:rPr>
        <w:t>В ходе анализа анкет потребителей установлено следующее: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1.Доля респондентов по социально-демографическим характеристикам: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Сосновборского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-100 %.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2. Доля респондентов по </w:t>
      </w:r>
      <w:proofErr w:type="spellStart"/>
      <w:r w:rsidRPr="00C041FA"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 w:rsidRPr="00C041FA">
        <w:rPr>
          <w:rFonts w:ascii="Times New Roman" w:hAnsi="Times New Roman" w:cs="Times New Roman"/>
          <w:sz w:val="24"/>
          <w:szCs w:val="24"/>
        </w:rPr>
        <w:t xml:space="preserve"> признаку: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lastRenderedPageBreak/>
        <w:t>- женщины – 90,0%.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- мужчины – 10,0% 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3. Доля респондентов по возрасту: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от 25 лет до 34 лет – 18 %;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от 35 лет до 44 лет – 32%.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от 45 лет до 54 лет – 26%.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от 55 лет до 64 лет – 24%.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4. Доля респондентов по социальному статусу: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работают – 100%.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5. Доля респондентов по количеству детей: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- 1 ребенок – 38%;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- 2 детей – 56 %.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- 3 детей – 6 %.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6. Доля респондентов по уровню образования: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высшее образование – 100 %;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7. Доля респондентов по удовлетворенности количеством организаций представляющих следующие товары и услуги на рынках: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bCs/>
          <w:sz w:val="24"/>
          <w:szCs w:val="24"/>
        </w:rPr>
        <w:t>Рынок выполнения работ по благоустройству городской среды</w:t>
      </w:r>
      <w:r w:rsidRPr="00C041FA">
        <w:rPr>
          <w:rFonts w:ascii="Times New Roman" w:hAnsi="Times New Roman" w:cs="Times New Roman"/>
          <w:sz w:val="24"/>
          <w:szCs w:val="24"/>
        </w:rPr>
        <w:t>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достаточно – 36%;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мало – 22%;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 - 42%.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Рынок архитектурно-строительного проектирования: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достаточно – 28%;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мало – 26%;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 - 46%.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8. Доля респондентов по удовлетворенности уровнем цен на товары и услуги на рынках по сравнению с другими регионами: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bCs/>
          <w:sz w:val="24"/>
          <w:szCs w:val="24"/>
        </w:rPr>
        <w:t>Рынок выполнения работ по благоустройству городской среды</w:t>
      </w:r>
      <w:r w:rsidRPr="00C041FA">
        <w:rPr>
          <w:rFonts w:ascii="Times New Roman" w:hAnsi="Times New Roman" w:cs="Times New Roman"/>
          <w:sz w:val="24"/>
          <w:szCs w:val="24"/>
        </w:rPr>
        <w:t>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Уровень цен: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удовлетворен – 21,7%;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 скорее неудовлетворен – 36,6%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 – 41,7%.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Качество: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удовлетворен – 29%;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неудовлетворен - 40,9%.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 – 30,1%.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удовлетворен – 28,9%;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неудовлетворен – 26,7%;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 – 44,4%.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Рынок архитектурно-строительного проектирования: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Уровень цен: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удовлетворен – 21,8%;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неудовлетворен – 34,7%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 – 43,5%.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Качество: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 удовлетворен – 33,4%;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неудовлетворен -  28,2%.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 – 38,4%.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- удовлетворен – 30,4% 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неудовлетворен – 28,2%;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lastRenderedPageBreak/>
        <w:t>- затрудняюсь ответить – 41,4%.</w:t>
      </w:r>
    </w:p>
    <w:p w:rsidR="006721EF" w:rsidRPr="00C041FA" w:rsidRDefault="00CF35C7" w:rsidP="006721EF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  <w:t>9. Доля респондентов по оценке качества услуг субъектов естественных монополий:</w:t>
      </w:r>
    </w:p>
    <w:p w:rsidR="00CF35C7" w:rsidRPr="00C041FA" w:rsidRDefault="006721EF" w:rsidP="006721EF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</w:r>
      <w:r w:rsidR="00CF35C7" w:rsidRPr="00C041FA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CF35C7" w:rsidRPr="00C041FA" w:rsidRDefault="00CF35C7" w:rsidP="00672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удовлетворительно – 36,6 %;</w:t>
      </w:r>
    </w:p>
    <w:p w:rsidR="00CF35C7" w:rsidRPr="00C041FA" w:rsidRDefault="00CF35C7" w:rsidP="00672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удовлетворительно – 52,6%;</w:t>
      </w:r>
    </w:p>
    <w:p w:rsidR="00CF35C7" w:rsidRPr="00C041FA" w:rsidRDefault="00CF35C7" w:rsidP="00672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неудовлетворительно – 10,8 %.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Водоочистка: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удовлетворительно – 32,6%;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неудовлетворительно – 16,6 %;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удовлетворительно – 50,8%.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Газоснабжение: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удовлетворительно – 36,0%;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удовлетворительно – 41,5 %;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неудовлетворительно – 22,5 %.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удовлетворительно – 32,6 %;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удовлетворительно – 60,9%;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неудовлетворительно – 6,5%.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удовлетворительно – 34,4%;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удовлетворительно – 52,6%;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неудовлетворительно - 13%;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Телефонная связь: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удовлетворительно - 43%;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удовлетворительно – 52,7 %;</w:t>
      </w:r>
    </w:p>
    <w:p w:rsidR="00CF35C7" w:rsidRPr="00C041FA" w:rsidRDefault="00CF35C7" w:rsidP="00CF3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скорее неудовлетворительно – 4,3%.</w:t>
      </w:r>
    </w:p>
    <w:p w:rsidR="00CF35C7" w:rsidRPr="00C041FA" w:rsidRDefault="00F02DB8" w:rsidP="00CF35C7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</w:r>
      <w:r w:rsidR="00CF35C7" w:rsidRPr="00C041FA">
        <w:rPr>
          <w:rFonts w:ascii="Times New Roman" w:hAnsi="Times New Roman" w:cs="Times New Roman"/>
          <w:sz w:val="24"/>
          <w:szCs w:val="24"/>
        </w:rPr>
        <w:t>10. 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CF35C7" w:rsidRPr="00C041FA" w:rsidRDefault="00CF35C7" w:rsidP="00CF35C7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  <w:t>Уровень доступности:</w:t>
      </w:r>
    </w:p>
    <w:p w:rsidR="00CF35C7" w:rsidRPr="00C041FA" w:rsidRDefault="00CF35C7" w:rsidP="00CF35C7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  <w:t>- удовлетворительное – 28,9%;</w:t>
      </w:r>
    </w:p>
    <w:p w:rsidR="00CF35C7" w:rsidRPr="00C041FA" w:rsidRDefault="00CF35C7" w:rsidP="00CF35C7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  <w:t>- скорее удовлетворительное – 26,8%;</w:t>
      </w:r>
    </w:p>
    <w:p w:rsidR="00CF35C7" w:rsidRPr="00C041FA" w:rsidRDefault="00CF35C7" w:rsidP="00CF35C7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 - затрудняюсь ответить – 44,3%.</w:t>
      </w:r>
    </w:p>
    <w:p w:rsidR="00CF35C7" w:rsidRPr="00C041FA" w:rsidRDefault="00CF35C7" w:rsidP="00CF35C7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Уровень понятности:</w:t>
      </w:r>
    </w:p>
    <w:p w:rsidR="00CF35C7" w:rsidRPr="00C041FA" w:rsidRDefault="00CF35C7" w:rsidP="00CF35C7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  <w:t>- удовлетворительное – 18,0 %;</w:t>
      </w:r>
    </w:p>
    <w:p w:rsidR="00CF35C7" w:rsidRPr="00C041FA" w:rsidRDefault="00CF35C7" w:rsidP="00CF35C7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  <w:t>- скорее удовлетворительное – 37,7%</w:t>
      </w:r>
    </w:p>
    <w:p w:rsidR="00CF35C7" w:rsidRPr="00C041FA" w:rsidRDefault="00CF35C7" w:rsidP="00CF35C7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 - затрудняюсь ответить – 44,3%.</w:t>
      </w:r>
    </w:p>
    <w:p w:rsidR="00CF35C7" w:rsidRPr="00C041FA" w:rsidRDefault="00CF35C7" w:rsidP="00CF35C7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Удобство получения:</w:t>
      </w:r>
    </w:p>
    <w:p w:rsidR="00CF35C7" w:rsidRPr="00C041FA" w:rsidRDefault="00CF35C7" w:rsidP="00CF35C7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  <w:t>- удовлетворительное – 13,9%;</w:t>
      </w:r>
    </w:p>
    <w:p w:rsidR="00CF35C7" w:rsidRPr="00C041FA" w:rsidRDefault="00CF35C7" w:rsidP="00CF35C7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ab/>
        <w:t>- скорее удовлетворительное – 44,8%;</w:t>
      </w:r>
    </w:p>
    <w:p w:rsidR="00CF35C7" w:rsidRPr="00C041FA" w:rsidRDefault="00CF35C7" w:rsidP="00CF35C7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 - затрудняюсь ответить – 41,3%.</w:t>
      </w:r>
    </w:p>
    <w:p w:rsidR="00CF35C7" w:rsidRPr="00C041FA" w:rsidRDefault="00CF35C7" w:rsidP="00CF35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11. Доля респондентов, по мнению изменения количества организаций, предоставляющих следующие товары и услуги на  рынках в течение последних 3 лет: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bCs/>
          <w:sz w:val="24"/>
          <w:szCs w:val="24"/>
        </w:rPr>
        <w:t>Рынок выполнения работ по благоустройству городской среды</w:t>
      </w:r>
      <w:r w:rsidRPr="00C041FA">
        <w:rPr>
          <w:rFonts w:ascii="Times New Roman" w:hAnsi="Times New Roman" w:cs="Times New Roman"/>
          <w:sz w:val="24"/>
          <w:szCs w:val="24"/>
        </w:rPr>
        <w:t>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Уровень цен</w:t>
      </w:r>
      <w:r w:rsidR="00717EC9" w:rsidRPr="00C041FA">
        <w:rPr>
          <w:rFonts w:ascii="Times New Roman" w:hAnsi="Times New Roman" w:cs="Times New Roman"/>
          <w:sz w:val="24"/>
          <w:szCs w:val="24"/>
        </w:rPr>
        <w:t>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lastRenderedPageBreak/>
        <w:t>- затрудняюсь ответить-59,2%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увеличение-26%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не изменилось—10,5%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снижение-4,3%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Качество</w:t>
      </w:r>
      <w:r w:rsidR="00717EC9" w:rsidRPr="00C041FA">
        <w:rPr>
          <w:rFonts w:ascii="Times New Roman" w:hAnsi="Times New Roman" w:cs="Times New Roman"/>
          <w:sz w:val="24"/>
          <w:szCs w:val="24"/>
        </w:rPr>
        <w:t>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ответить-41,4%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увеличение-28,2%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не изменилось-28,2%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снижение-2,2%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Возможность выбора</w:t>
      </w:r>
      <w:r w:rsidR="00717EC9" w:rsidRPr="00C041FA">
        <w:rPr>
          <w:rFonts w:ascii="Times New Roman" w:hAnsi="Times New Roman" w:cs="Times New Roman"/>
          <w:sz w:val="24"/>
          <w:szCs w:val="24"/>
        </w:rPr>
        <w:t>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ответить-52,3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увеличение-19,5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не изменилось-23,9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снижение-4,3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Рынок архитектурно-строительного проектирования: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Уровень цен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ответить-53,2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увеличение-25,1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не изменилось-17,4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снижение-4,3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Качество</w:t>
      </w:r>
      <w:r w:rsidR="00717EC9" w:rsidRPr="00C041FA">
        <w:rPr>
          <w:rFonts w:ascii="Times New Roman" w:hAnsi="Times New Roman" w:cs="Times New Roman"/>
          <w:sz w:val="24"/>
          <w:szCs w:val="24"/>
        </w:rPr>
        <w:t>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ответить-56,6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увеличение-13,0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не изменилось-30,4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снижение-0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Возможность выбора</w:t>
      </w:r>
      <w:r w:rsidR="00717EC9" w:rsidRPr="00C041FA">
        <w:rPr>
          <w:rFonts w:ascii="Times New Roman" w:hAnsi="Times New Roman" w:cs="Times New Roman"/>
          <w:sz w:val="24"/>
          <w:szCs w:val="24"/>
        </w:rPr>
        <w:t>: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затрудняюсь ответить-45,0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увеличение-10,6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не изменилось-14,0</w:t>
      </w:r>
    </w:p>
    <w:p w:rsidR="00CF35C7" w:rsidRPr="00C041FA" w:rsidRDefault="00CF35C7" w:rsidP="00CF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- снижение-30,4</w:t>
      </w:r>
    </w:p>
    <w:p w:rsidR="00CF35C7" w:rsidRPr="00C041FA" w:rsidRDefault="00CF35C7" w:rsidP="00CF35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 xml:space="preserve">По результатам опроса, о степени удовлетворенности потребителями качеством товаров, работ, услуг на товарных рынках можно отметить, что большинство опрошенных респондентов были скорее удовлетворенны качеством оказываемых услуг. </w:t>
      </w:r>
    </w:p>
    <w:p w:rsidR="006E290F" w:rsidRPr="00C041FA" w:rsidRDefault="000C5344" w:rsidP="000C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A">
        <w:rPr>
          <w:rFonts w:ascii="Times New Roman" w:hAnsi="Times New Roman" w:cs="Times New Roman"/>
          <w:sz w:val="24"/>
          <w:szCs w:val="24"/>
        </w:rPr>
        <w:t>4.</w:t>
      </w:r>
      <w:r w:rsidR="000C2FBC" w:rsidRPr="00C041FA">
        <w:rPr>
          <w:rFonts w:ascii="Times New Roman" w:hAnsi="Times New Roman" w:cs="Times New Roman"/>
          <w:sz w:val="24"/>
          <w:szCs w:val="24"/>
        </w:rPr>
        <w:t>О</w:t>
      </w:r>
      <w:r w:rsidR="006E290F" w:rsidRPr="00C041FA">
        <w:rPr>
          <w:rFonts w:ascii="Times New Roman" w:hAnsi="Times New Roman" w:cs="Times New Roman"/>
          <w:sz w:val="24"/>
          <w:szCs w:val="24"/>
        </w:rPr>
        <w:t xml:space="preserve"> количестве организаций частной формы собственности, осуществляющих услуги (работы) по перевозке пассажиров автомобильным транспортом по муниципальным маршрутам регулярных перевозок.</w:t>
      </w:r>
    </w:p>
    <w:p w:rsidR="006E290F" w:rsidRPr="00C041FA" w:rsidRDefault="00A739EF" w:rsidP="006E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1FA">
        <w:rPr>
          <w:rFonts w:ascii="Times New Roman" w:hAnsi="Times New Roman" w:cs="Times New Roman"/>
          <w:sz w:val="24"/>
          <w:szCs w:val="24"/>
        </w:rPr>
        <w:t>В 2021году</w:t>
      </w:r>
      <w:r w:rsidR="006E290F" w:rsidRPr="00C041FA">
        <w:rPr>
          <w:rFonts w:ascii="Times New Roman" w:hAnsi="Times New Roman" w:cs="Times New Roman"/>
          <w:sz w:val="24"/>
          <w:szCs w:val="24"/>
        </w:rPr>
        <w:t xml:space="preserve"> </w:t>
      </w:r>
      <w:r w:rsidRPr="00C041FA">
        <w:rPr>
          <w:rFonts w:ascii="Times New Roman" w:hAnsi="Times New Roman" w:cs="Times New Roman"/>
          <w:sz w:val="24"/>
          <w:szCs w:val="24"/>
        </w:rPr>
        <w:t>н</w:t>
      </w:r>
      <w:r w:rsidR="006E290F" w:rsidRPr="00C041FA">
        <w:rPr>
          <w:rFonts w:ascii="Times New Roman" w:hAnsi="Times New Roman" w:cs="Times New Roman"/>
          <w:sz w:val="24"/>
          <w:szCs w:val="24"/>
        </w:rPr>
        <w:t xml:space="preserve">а территории </w:t>
      </w:r>
      <w:proofErr w:type="spellStart"/>
      <w:r w:rsidR="006E290F" w:rsidRPr="00C041F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6E290F" w:rsidRPr="00C041FA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Федеральным законом от 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результатам аукциона в электронной форме регулярные перевозки пассажиров и багажа автомобильным транспортом общего пользования по регулируемым</w:t>
      </w:r>
      <w:proofErr w:type="gramEnd"/>
      <w:r w:rsidR="006E290F" w:rsidRPr="00C041FA">
        <w:rPr>
          <w:rFonts w:ascii="Times New Roman" w:hAnsi="Times New Roman" w:cs="Times New Roman"/>
          <w:sz w:val="24"/>
          <w:szCs w:val="24"/>
        </w:rPr>
        <w:t xml:space="preserve"> тарифам по муниципальным маршрутам осуществля</w:t>
      </w:r>
      <w:r w:rsidRPr="00C041FA">
        <w:rPr>
          <w:rFonts w:ascii="Times New Roman" w:hAnsi="Times New Roman" w:cs="Times New Roman"/>
          <w:sz w:val="24"/>
          <w:szCs w:val="24"/>
        </w:rPr>
        <w:t>лись</w:t>
      </w:r>
      <w:r w:rsidR="006E290F" w:rsidRPr="00C041FA">
        <w:rPr>
          <w:rFonts w:ascii="Times New Roman" w:hAnsi="Times New Roman" w:cs="Times New Roman"/>
          <w:sz w:val="24"/>
          <w:szCs w:val="24"/>
        </w:rPr>
        <w:t xml:space="preserve"> организациями: ООО «Ленинградская АЭС-Авто», ООО «</w:t>
      </w:r>
      <w:proofErr w:type="spellStart"/>
      <w:r w:rsidR="006E290F" w:rsidRPr="00C041FA">
        <w:rPr>
          <w:rFonts w:ascii="Times New Roman" w:hAnsi="Times New Roman" w:cs="Times New Roman"/>
          <w:sz w:val="24"/>
          <w:szCs w:val="24"/>
        </w:rPr>
        <w:t>ЭлисТранс</w:t>
      </w:r>
      <w:proofErr w:type="spellEnd"/>
      <w:r w:rsidR="006E290F" w:rsidRPr="00C041FA">
        <w:rPr>
          <w:rFonts w:ascii="Times New Roman" w:hAnsi="Times New Roman" w:cs="Times New Roman"/>
          <w:sz w:val="24"/>
          <w:szCs w:val="24"/>
        </w:rPr>
        <w:t>».</w:t>
      </w:r>
    </w:p>
    <w:p w:rsidR="00CC21D8" w:rsidRDefault="00CC21D8" w:rsidP="00717E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1A" w:rsidRPr="00D562E1" w:rsidRDefault="000C5344" w:rsidP="00717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2E1">
        <w:rPr>
          <w:rFonts w:ascii="Times New Roman" w:hAnsi="Times New Roman" w:cs="Times New Roman"/>
          <w:sz w:val="24"/>
          <w:szCs w:val="24"/>
        </w:rPr>
        <w:t>5</w:t>
      </w:r>
      <w:r w:rsidR="00B0686C" w:rsidRPr="00D562E1">
        <w:rPr>
          <w:rFonts w:ascii="Times New Roman" w:hAnsi="Times New Roman" w:cs="Times New Roman"/>
          <w:sz w:val="24"/>
          <w:szCs w:val="24"/>
        </w:rPr>
        <w:t>.</w:t>
      </w:r>
      <w:r w:rsidR="00A8121A" w:rsidRPr="00D562E1">
        <w:rPr>
          <w:rFonts w:ascii="Times New Roman" w:hAnsi="Times New Roman" w:cs="Times New Roman"/>
          <w:sz w:val="24"/>
          <w:szCs w:val="24"/>
        </w:rPr>
        <w:t xml:space="preserve">Реестр хозяйствующих субъектов, осуществляющих свою деятельность на территории </w:t>
      </w:r>
      <w:proofErr w:type="spellStart"/>
      <w:r w:rsidR="00A8121A" w:rsidRPr="00D562E1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A8121A" w:rsidRPr="00D562E1">
        <w:rPr>
          <w:rFonts w:ascii="Times New Roman" w:hAnsi="Times New Roman" w:cs="Times New Roman"/>
          <w:sz w:val="24"/>
          <w:szCs w:val="24"/>
        </w:rPr>
        <w:t xml:space="preserve"> городского округа, доля участия муниципального образования,</w:t>
      </w:r>
      <w:r w:rsidR="009E3160" w:rsidRPr="00D562E1">
        <w:rPr>
          <w:rFonts w:ascii="Times New Roman" w:hAnsi="Times New Roman" w:cs="Times New Roman"/>
          <w:sz w:val="24"/>
          <w:szCs w:val="24"/>
        </w:rPr>
        <w:t xml:space="preserve"> </w:t>
      </w:r>
      <w:r w:rsidR="00A8121A" w:rsidRPr="00D562E1">
        <w:rPr>
          <w:rFonts w:ascii="Times New Roman" w:hAnsi="Times New Roman" w:cs="Times New Roman"/>
          <w:sz w:val="24"/>
          <w:szCs w:val="24"/>
        </w:rPr>
        <w:t>в которых составляет 50 и более процентов за 2021 год</w:t>
      </w:r>
      <w:r w:rsidR="002E6F48" w:rsidRPr="00D562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9606" w:type="dxa"/>
        <w:tblLayout w:type="fixed"/>
        <w:tblLook w:val="04A0"/>
      </w:tblPr>
      <w:tblGrid>
        <w:gridCol w:w="534"/>
        <w:gridCol w:w="1701"/>
        <w:gridCol w:w="1984"/>
        <w:gridCol w:w="2126"/>
        <w:gridCol w:w="1560"/>
        <w:gridCol w:w="1701"/>
      </w:tblGrid>
      <w:tr w:rsidR="003B049A" w:rsidRPr="0056156E" w:rsidTr="00791014">
        <w:trPr>
          <w:trHeight w:val="2588"/>
        </w:trPr>
        <w:tc>
          <w:tcPr>
            <w:tcW w:w="534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2126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Наименование товарного рынка присутствия хозяйствующего субъекта /наименование ОКВЭД</w:t>
            </w:r>
          </w:p>
        </w:tc>
        <w:tc>
          <w:tcPr>
            <w:tcW w:w="1560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Рыночная доля хозяйствующего субъекта, в том числе объем (доля) выручки в общей величине  стоимостного оборота рынка /объем (доля) реализованных на рынке товаров, работ и услуг в натуральном выражении, в процентах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объём государственного (муниципального) финансирования хозяйствующего субъекта </w:t>
            </w:r>
          </w:p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bookmarkStart w:id="23" w:name="_GoBack"/>
            <w:bookmarkEnd w:id="23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21 год в </w:t>
            </w:r>
            <w:proofErr w:type="gramStart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proofErr w:type="gramEnd"/>
          </w:p>
        </w:tc>
      </w:tr>
      <w:tr w:rsidR="003B049A" w:rsidRPr="0056156E" w:rsidTr="00791014">
        <w:tc>
          <w:tcPr>
            <w:tcW w:w="534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ООО «БУК» </w:t>
            </w:r>
          </w:p>
        </w:tc>
        <w:tc>
          <w:tcPr>
            <w:tcW w:w="1984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Деятельность по созданию и использованию баз данных и информационных ресурсов</w:t>
            </w: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63.11.1</w:t>
            </w:r>
          </w:p>
        </w:tc>
        <w:tc>
          <w:tcPr>
            <w:tcW w:w="1560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63/100 архивные справки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049A" w:rsidRPr="0056156E" w:rsidTr="00791014">
        <w:tc>
          <w:tcPr>
            <w:tcW w:w="534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СМУП «ТСП»</w:t>
            </w:r>
          </w:p>
        </w:tc>
        <w:tc>
          <w:tcPr>
            <w:tcW w:w="1984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Производство пара и горячей воды (тепловой энергии) котельными</w:t>
            </w: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35.30.14</w:t>
            </w:r>
          </w:p>
        </w:tc>
        <w:tc>
          <w:tcPr>
            <w:tcW w:w="1560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12027413,33</w:t>
            </w:r>
          </w:p>
        </w:tc>
      </w:tr>
      <w:tr w:rsidR="003B049A" w:rsidRPr="0056156E" w:rsidTr="00791014">
        <w:tc>
          <w:tcPr>
            <w:tcW w:w="534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 СМУП    «Водоканал»</w:t>
            </w:r>
          </w:p>
        </w:tc>
        <w:tc>
          <w:tcPr>
            <w:tcW w:w="1984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90.00.1</w:t>
            </w:r>
          </w:p>
        </w:tc>
        <w:tc>
          <w:tcPr>
            <w:tcW w:w="1560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56/56 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13742210,33</w:t>
            </w:r>
          </w:p>
        </w:tc>
      </w:tr>
      <w:tr w:rsidR="003B049A" w:rsidRPr="0056156E" w:rsidTr="00791014">
        <w:tc>
          <w:tcPr>
            <w:tcW w:w="534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СМУП «Горкадастрпроект» </w:t>
            </w:r>
          </w:p>
        </w:tc>
        <w:tc>
          <w:tcPr>
            <w:tcW w:w="1984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Деятельность геодезическая и картографическая</w:t>
            </w: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71.12.4</w:t>
            </w:r>
          </w:p>
        </w:tc>
        <w:tc>
          <w:tcPr>
            <w:tcW w:w="1560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60/28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049A" w:rsidRPr="0056156E" w:rsidTr="00791014">
        <w:trPr>
          <w:trHeight w:val="224"/>
        </w:trPr>
        <w:tc>
          <w:tcPr>
            <w:tcW w:w="534" w:type="dxa"/>
          </w:tcPr>
          <w:p w:rsidR="003B049A" w:rsidRPr="0056156E" w:rsidRDefault="003B049A" w:rsidP="006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СМУП «Комфорт»</w:t>
            </w:r>
          </w:p>
        </w:tc>
        <w:tc>
          <w:tcPr>
            <w:tcW w:w="1984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3B049A" w:rsidRPr="0056156E" w:rsidRDefault="003B049A" w:rsidP="00667CA6">
            <w:pPr>
              <w:rPr>
                <w:rStyle w:val="bolder"/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bolder"/>
                <w:rFonts w:ascii="Times New Roman" w:hAnsi="Times New Roman" w:cs="Times New Roman"/>
                <w:sz w:val="20"/>
                <w:szCs w:val="20"/>
              </w:rPr>
              <w:t>68.32.1</w:t>
            </w:r>
          </w:p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company-infotext"/>
                <w:rFonts w:ascii="Times New Roman" w:hAnsi="Times New Roman" w:cs="Times New Roman"/>
                <w:sz w:val="20"/>
                <w:szCs w:val="20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560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049A" w:rsidRPr="0056156E" w:rsidRDefault="003B049A" w:rsidP="0066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49A" w:rsidRPr="0056156E" w:rsidRDefault="003B049A" w:rsidP="003B0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56E">
        <w:rPr>
          <w:rFonts w:ascii="Times New Roman" w:hAnsi="Times New Roman" w:cs="Times New Roman"/>
          <w:sz w:val="20"/>
          <w:szCs w:val="20"/>
        </w:rPr>
        <w:t>*- СМУП «Комфорт» инициирована процедура банкротства.</w:t>
      </w:r>
    </w:p>
    <w:p w:rsidR="00D85114" w:rsidRPr="0056156E" w:rsidRDefault="00D85114" w:rsidP="00F511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41FA" w:rsidRDefault="00C041FA" w:rsidP="00F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C041FA" w:rsidSect="00C041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90F" w:rsidRPr="00397219" w:rsidRDefault="000C5344" w:rsidP="00F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1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0686C" w:rsidRPr="00397219">
        <w:rPr>
          <w:rFonts w:ascii="Times New Roman" w:hAnsi="Times New Roman" w:cs="Times New Roman"/>
          <w:sz w:val="24"/>
          <w:szCs w:val="24"/>
        </w:rPr>
        <w:t>.</w:t>
      </w:r>
      <w:r w:rsidR="00F70E68" w:rsidRPr="00397219">
        <w:rPr>
          <w:rFonts w:ascii="Times New Roman" w:hAnsi="Times New Roman" w:cs="Times New Roman"/>
          <w:sz w:val="24"/>
          <w:szCs w:val="24"/>
        </w:rPr>
        <w:t xml:space="preserve"> </w:t>
      </w:r>
      <w:r w:rsidR="00F5110E" w:rsidRPr="00397219">
        <w:rPr>
          <w:rFonts w:ascii="Times New Roman" w:hAnsi="Times New Roman" w:cs="Times New Roman"/>
          <w:sz w:val="24"/>
          <w:szCs w:val="24"/>
        </w:rPr>
        <w:t>О достижении ключевых показателей развития конкуренции на рынках товаров, работ и услуг, определенных в планах мероприятий</w:t>
      </w:r>
      <w:r w:rsidR="00F70E68" w:rsidRPr="00397219">
        <w:rPr>
          <w:rFonts w:ascii="Times New Roman" w:hAnsi="Times New Roman" w:cs="Times New Roman"/>
          <w:sz w:val="24"/>
          <w:szCs w:val="24"/>
        </w:rPr>
        <w:t>.</w:t>
      </w:r>
    </w:p>
    <w:p w:rsidR="00DE4E53" w:rsidRPr="00397219" w:rsidRDefault="00D85114" w:rsidP="00D85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219">
        <w:rPr>
          <w:rFonts w:ascii="Times New Roman" w:hAnsi="Times New Roman" w:cs="Times New Roman"/>
          <w:sz w:val="24"/>
          <w:szCs w:val="24"/>
        </w:rPr>
        <w:t>Отчет о реализации Плана мероприятий («дорожн</w:t>
      </w:r>
      <w:r w:rsidR="00772697" w:rsidRPr="00397219">
        <w:rPr>
          <w:rFonts w:ascii="Times New Roman" w:hAnsi="Times New Roman" w:cs="Times New Roman"/>
          <w:sz w:val="24"/>
          <w:szCs w:val="24"/>
        </w:rPr>
        <w:t>ая</w:t>
      </w:r>
      <w:r w:rsidRPr="00397219">
        <w:rPr>
          <w:rFonts w:ascii="Times New Roman" w:hAnsi="Times New Roman" w:cs="Times New Roman"/>
          <w:sz w:val="24"/>
          <w:szCs w:val="24"/>
        </w:rPr>
        <w:t xml:space="preserve"> карт</w:t>
      </w:r>
      <w:r w:rsidR="00772697" w:rsidRPr="00397219">
        <w:rPr>
          <w:rFonts w:ascii="Times New Roman" w:hAnsi="Times New Roman" w:cs="Times New Roman"/>
          <w:sz w:val="24"/>
          <w:szCs w:val="24"/>
        </w:rPr>
        <w:t>а</w:t>
      </w:r>
      <w:r w:rsidRPr="00397219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D85114" w:rsidRPr="00397219" w:rsidRDefault="00D85114" w:rsidP="00D85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219">
        <w:rPr>
          <w:rFonts w:ascii="Times New Roman" w:hAnsi="Times New Roman" w:cs="Times New Roman"/>
          <w:sz w:val="24"/>
          <w:szCs w:val="24"/>
        </w:rPr>
        <w:t>по содействию развитию конкуренции в Сосновоборском городском округе за 2021г.</w:t>
      </w:r>
    </w:p>
    <w:p w:rsidR="00D85114" w:rsidRPr="00397219" w:rsidRDefault="00D85114" w:rsidP="00D85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606"/>
        <w:gridCol w:w="3892"/>
        <w:gridCol w:w="889"/>
        <w:gridCol w:w="103"/>
        <w:gridCol w:w="58"/>
        <w:gridCol w:w="1097"/>
        <w:gridCol w:w="2410"/>
        <w:gridCol w:w="2696"/>
        <w:gridCol w:w="2822"/>
        <w:gridCol w:w="2552"/>
        <w:gridCol w:w="2552"/>
        <w:gridCol w:w="2552"/>
        <w:gridCol w:w="2552"/>
      </w:tblGrid>
      <w:tr w:rsidR="00D85114" w:rsidRPr="00397219" w:rsidTr="00F64270">
        <w:trPr>
          <w:gridAfter w:val="5"/>
          <w:wAfter w:w="13030" w:type="dxa"/>
        </w:trPr>
        <w:tc>
          <w:tcPr>
            <w:tcW w:w="560" w:type="dxa"/>
            <w:vMerge w:val="restart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7" w:type="dxa"/>
            <w:vMerge w:val="restart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достижение целевого показателя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Style w:val="7pt0pt"/>
                <w:rFonts w:eastAsia="Calibri"/>
                <w:sz w:val="20"/>
                <w:szCs w:val="20"/>
              </w:rPr>
              <w:t>Наименование ключевого показателя развития конкуренции в отраслях (сферах) экономики</w:t>
            </w:r>
          </w:p>
        </w:tc>
        <w:tc>
          <w:tcPr>
            <w:tcW w:w="2144" w:type="dxa"/>
            <w:gridSpan w:val="4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мероприятия</w:t>
            </w:r>
          </w:p>
        </w:tc>
        <w:tc>
          <w:tcPr>
            <w:tcW w:w="2696" w:type="dxa"/>
            <w:vMerge w:val="restart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85114" w:rsidRPr="00397219" w:rsidTr="00F64270">
        <w:trPr>
          <w:gridAfter w:val="5"/>
          <w:wAfter w:w="13030" w:type="dxa"/>
          <w:trHeight w:val="293"/>
        </w:trPr>
        <w:tc>
          <w:tcPr>
            <w:tcW w:w="560" w:type="dxa"/>
            <w:vMerge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vMerge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на </w:t>
            </w:r>
            <w:r w:rsidR="00772697"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85114" w:rsidRPr="0056156E" w:rsidRDefault="00D85114" w:rsidP="00401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Факт за 2021г</w:t>
            </w:r>
            <w:r w:rsidR="00772697"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410" w:type="dxa"/>
            <w:vMerge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14" w:rsidRPr="00397219" w:rsidTr="00F64270">
        <w:trPr>
          <w:gridAfter w:val="5"/>
          <w:wAfter w:w="13030" w:type="dxa"/>
          <w:trHeight w:val="369"/>
        </w:trPr>
        <w:tc>
          <w:tcPr>
            <w:tcW w:w="15310" w:type="dxa"/>
            <w:gridSpan w:val="9"/>
            <w:shd w:val="clear" w:color="auto" w:fill="auto"/>
          </w:tcPr>
          <w:p w:rsidR="00D85114" w:rsidRPr="0056156E" w:rsidRDefault="00D85114" w:rsidP="00F64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содействию развитию конкуренции на рынках товаров, работ и услуг в Сосновоборском городском округе.</w:t>
            </w:r>
          </w:p>
        </w:tc>
      </w:tr>
      <w:tr w:rsidR="00D85114" w:rsidRPr="00397219" w:rsidTr="00F64270">
        <w:trPr>
          <w:gridAfter w:val="5"/>
          <w:wAfter w:w="13030" w:type="dxa"/>
          <w:trHeight w:val="357"/>
        </w:trPr>
        <w:tc>
          <w:tcPr>
            <w:tcW w:w="15310" w:type="dxa"/>
            <w:gridSpan w:val="9"/>
            <w:shd w:val="clear" w:color="auto" w:fill="auto"/>
          </w:tcPr>
          <w:p w:rsidR="00D85114" w:rsidRPr="0056156E" w:rsidRDefault="00D85114" w:rsidP="00F64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1.Рынок выполнения работ по благоустройству городской среды.</w:t>
            </w: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5114" w:rsidRPr="00397219" w:rsidTr="00F64270">
        <w:trPr>
          <w:gridAfter w:val="5"/>
          <w:wAfter w:w="13030" w:type="dxa"/>
        </w:trPr>
        <w:tc>
          <w:tcPr>
            <w:tcW w:w="56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07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на право заключения муниципальных контрактов на выполнение работ по благоустройству городской среды.</w:t>
            </w:r>
          </w:p>
        </w:tc>
        <w:tc>
          <w:tcPr>
            <w:tcW w:w="3893" w:type="dxa"/>
            <w:shd w:val="clear" w:color="auto" w:fill="auto"/>
          </w:tcPr>
          <w:p w:rsidR="00D85114" w:rsidRPr="0056156E" w:rsidRDefault="00D85114" w:rsidP="00F6427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sz w:val="20"/>
                <w:szCs w:val="20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собственности.(%)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>Не менее 96%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241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В сфере работ по ремонту дорог и благоустройству города произведено 81 закупка. Выполненные в 2021 году работы по отделу </w:t>
            </w:r>
            <w:proofErr w:type="spellStart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ВБиДХ</w:t>
            </w:r>
            <w:proofErr w:type="spellEnd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проводились через конкурсные процедуры, а также способом прямых закупок. МК заключены с организациями частной формы собственности</w:t>
            </w:r>
          </w:p>
        </w:tc>
        <w:tc>
          <w:tcPr>
            <w:tcW w:w="2696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14" w:rsidRPr="00397219" w:rsidTr="00F64270">
        <w:trPr>
          <w:gridAfter w:val="5"/>
          <w:wAfter w:w="13030" w:type="dxa"/>
          <w:trHeight w:val="369"/>
        </w:trPr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Style w:val="10pt0pt"/>
                <w:rFonts w:eastAsia="Calibri"/>
              </w:rPr>
              <w:t>2.</w:t>
            </w: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Рынок архитектурно-строительного проектирования.</w:t>
            </w:r>
          </w:p>
        </w:tc>
      </w:tr>
      <w:tr w:rsidR="00D85114" w:rsidRPr="00397219" w:rsidTr="00DE4E53">
        <w:trPr>
          <w:gridAfter w:val="5"/>
          <w:wAfter w:w="13030" w:type="dxa"/>
          <w:trHeight w:val="1449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организаций частной формы собственности в сфере наружной рекламы.</w:t>
            </w: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выданных разрешений на установку и эксплуатацию рекламных конструкций на территории муниципального образования Сосновоборский городской округ Ленинградской области (шт.).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ООО «Лента», </w:t>
            </w: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Сосновоборская</w:t>
            </w:r>
            <w:proofErr w:type="spellEnd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торговля».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14" w:rsidRPr="00397219" w:rsidTr="00F64270">
        <w:trPr>
          <w:gridAfter w:val="5"/>
          <w:wAfter w:w="13030" w:type="dxa"/>
          <w:trHeight w:val="433"/>
        </w:trPr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.Системные мероприятия по развитию конкурентной среды в Сосновоборском городском округе</w:t>
            </w:r>
          </w:p>
        </w:tc>
      </w:tr>
      <w:tr w:rsidR="00D85114" w:rsidRPr="00397219" w:rsidTr="00F64270">
        <w:trPr>
          <w:gridAfter w:val="5"/>
          <w:wAfter w:w="13030" w:type="dxa"/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ArialNarrow9pt0pt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6156E">
              <w:rPr>
                <w:rStyle w:val="ArialNarrow9pt0pt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достижение целевого показателя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7pt0pt"/>
                <w:rFonts w:eastAsia="Calibri"/>
                <w:sz w:val="20"/>
                <w:szCs w:val="20"/>
              </w:rPr>
              <w:t>Целевые индикаторы, единица измерения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мероприятия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85114" w:rsidRPr="00397219" w:rsidTr="00F64270">
        <w:trPr>
          <w:gridAfter w:val="5"/>
          <w:wAfter w:w="13030" w:type="dxa"/>
          <w:trHeight w:val="48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Style w:val="ArialNarrow9pt0pt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E3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="00E87AE3"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87AE3"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D85114" w:rsidRPr="0056156E" w:rsidRDefault="00E87AE3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2021год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E8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r w:rsidR="00E87AE3"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2021год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14" w:rsidRPr="00397219" w:rsidTr="00F64270">
        <w:trPr>
          <w:gridAfter w:val="5"/>
          <w:wAfter w:w="13030" w:type="dxa"/>
          <w:trHeight w:val="207"/>
        </w:trPr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6156E">
              <w:rPr>
                <w:rStyle w:val="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предпринимательства.</w:t>
            </w:r>
          </w:p>
        </w:tc>
      </w:tr>
      <w:tr w:rsidR="00D85114" w:rsidRPr="00397219" w:rsidTr="00F64270">
        <w:trPr>
          <w:gridAfter w:val="5"/>
          <w:wAfter w:w="13030" w:type="dxa"/>
          <w:trHeight w:val="558"/>
        </w:trPr>
        <w:tc>
          <w:tcPr>
            <w:tcW w:w="56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607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Style w:val="ArialNarrow9pt0pt"/>
                <w:rFonts w:ascii="Times New Roman" w:hAnsi="Times New Roman" w:cs="Times New Roman"/>
                <w:b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3893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 </w:t>
            </w:r>
            <w:r w:rsidRPr="0056156E">
              <w:rPr>
                <w:rStyle w:val="10pt"/>
                <w:rFonts w:eastAsia="Calibri"/>
                <w:b w:val="0"/>
              </w:rPr>
              <w:t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 поддержка в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241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6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Всего субъектов- 1855 ед.</w:t>
            </w: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Уникальных СМП-730 ед.</w:t>
            </w:r>
          </w:p>
        </w:tc>
      </w:tr>
      <w:tr w:rsidR="00D85114" w:rsidRPr="00397219" w:rsidTr="00F64270">
        <w:trPr>
          <w:gridAfter w:val="5"/>
          <w:wAfter w:w="13030" w:type="dxa"/>
          <w:trHeight w:val="983"/>
        </w:trPr>
        <w:tc>
          <w:tcPr>
            <w:tcW w:w="56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07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56156E">
              <w:rPr>
                <w:rStyle w:val="95pt0pt"/>
                <w:rFonts w:eastAsia="Calibri"/>
                <w:b w:val="0"/>
                <w:sz w:val="20"/>
                <w:szCs w:val="20"/>
              </w:rPr>
              <w:t xml:space="preserve">Оказание методической и консультационной помощи </w:t>
            </w: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  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 </w:t>
            </w:r>
          </w:p>
          <w:p w:rsidR="00D85114" w:rsidRPr="0056156E" w:rsidRDefault="00D85114" w:rsidP="00F64270">
            <w:pPr>
              <w:spacing w:after="0" w:line="240" w:lineRule="auto"/>
              <w:rPr>
                <w:rStyle w:val="ArialNarrow9pt0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по вопросам участия в </w:t>
            </w:r>
            <w:proofErr w:type="gramStart"/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>ярмарках</w:t>
            </w:r>
            <w:proofErr w:type="gramEnd"/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 и организации нестационарных торговых объектов.</w:t>
            </w:r>
          </w:p>
        </w:tc>
        <w:tc>
          <w:tcPr>
            <w:tcW w:w="3893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56156E">
              <w:rPr>
                <w:rStyle w:val="95pt0pt"/>
                <w:rFonts w:eastAsia="Calibri"/>
                <w:b w:val="0"/>
                <w:sz w:val="20"/>
                <w:szCs w:val="20"/>
              </w:rPr>
              <w:t xml:space="preserve">Доля граждан, получивших методическую и консультационную помощь по вопросам участия в </w:t>
            </w:r>
            <w:proofErr w:type="gramStart"/>
            <w:r w:rsidRPr="0056156E">
              <w:rPr>
                <w:rStyle w:val="95pt0pt"/>
                <w:rFonts w:eastAsia="Calibri"/>
                <w:b w:val="0"/>
                <w:sz w:val="20"/>
                <w:szCs w:val="20"/>
              </w:rPr>
              <w:t>ярмарках</w:t>
            </w:r>
            <w:proofErr w:type="gramEnd"/>
            <w:r w:rsidRPr="0056156E">
              <w:rPr>
                <w:rStyle w:val="95pt0pt"/>
                <w:rFonts w:eastAsia="Calibri"/>
                <w:b w:val="0"/>
                <w:sz w:val="20"/>
                <w:szCs w:val="20"/>
              </w:rPr>
              <w:t xml:space="preserve"> и организации нестационарных торговых объектов в общем числе обратившихся,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7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в администрацию - 21 </w:t>
            </w: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 а) по вопросам установки НТО – 15</w:t>
            </w:r>
          </w:p>
        </w:tc>
        <w:tc>
          <w:tcPr>
            <w:tcW w:w="2696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Хозяйствующим субъектам  предоставлена консультационная помощь, в том числе даны разъяснения в письменном виде.</w:t>
            </w: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14" w:rsidRPr="00397219" w:rsidTr="00F64270">
        <w:trPr>
          <w:gridAfter w:val="5"/>
          <w:wAfter w:w="13030" w:type="dxa"/>
          <w:trHeight w:val="104"/>
        </w:trPr>
        <w:tc>
          <w:tcPr>
            <w:tcW w:w="15310" w:type="dxa"/>
            <w:gridSpan w:val="9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10pt0pt"/>
                <w:rFonts w:eastAsia="Calibri"/>
              </w:rPr>
              <w:t xml:space="preserve"> 2. 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D85114" w:rsidRPr="00397219" w:rsidTr="00F64270">
        <w:trPr>
          <w:gridAfter w:val="5"/>
          <w:wAfter w:w="13030" w:type="dxa"/>
          <w:trHeight w:val="626"/>
        </w:trPr>
        <w:tc>
          <w:tcPr>
            <w:tcW w:w="56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07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</w:t>
            </w:r>
            <w:proofErr w:type="gramStart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устранении</w:t>
            </w:r>
            <w:proofErr w:type="gramEnd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 барьеров и препятствий сдерживающих развитие предпринимательства </w:t>
            </w:r>
          </w:p>
        </w:tc>
        <w:tc>
          <w:tcPr>
            <w:tcW w:w="3893" w:type="dxa"/>
            <w:shd w:val="clear" w:color="auto" w:fill="auto"/>
          </w:tcPr>
          <w:p w:rsidR="00D85114" w:rsidRPr="0056156E" w:rsidRDefault="00D85114" w:rsidP="00F64270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заседаний координационного совета по вопросам развития малого и среднего предпринимательства к общему числу запланированных заседаний на текущий год,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5 заседаний координационного совета по вопросам развития малого и среднего предпринимательства на территории </w:t>
            </w:r>
            <w:proofErr w:type="spellStart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696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14" w:rsidRPr="00397219" w:rsidTr="00DE4E53">
        <w:trPr>
          <w:gridAfter w:val="5"/>
          <w:wAfter w:w="13030" w:type="dxa"/>
          <w:trHeight w:val="1731"/>
        </w:trPr>
        <w:tc>
          <w:tcPr>
            <w:tcW w:w="56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07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экспертизы нормативных актов </w:t>
            </w:r>
            <w:proofErr w:type="spellStart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893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68" w:rsidRPr="0056156E" w:rsidRDefault="00F70E68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В НПА не выявлено положений, вводящих избыточные обязанности, запреты и ограничения для субъектов предпринимательской деятельности.</w:t>
            </w:r>
          </w:p>
        </w:tc>
        <w:tc>
          <w:tcPr>
            <w:tcW w:w="2696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5114" w:rsidRPr="00397219" w:rsidTr="00F64270">
        <w:trPr>
          <w:trHeight w:val="173"/>
        </w:trPr>
        <w:tc>
          <w:tcPr>
            <w:tcW w:w="15310" w:type="dxa"/>
            <w:gridSpan w:val="9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156E">
              <w:rPr>
                <w:rFonts w:ascii="Times New Roman" w:hAnsi="Times New Roman" w:cs="Times New Roman"/>
                <w:b/>
                <w:sz w:val="20"/>
                <w:szCs w:val="20"/>
              </w:rPr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  <w:proofErr w:type="gramEnd"/>
          </w:p>
        </w:tc>
        <w:tc>
          <w:tcPr>
            <w:tcW w:w="2822" w:type="dxa"/>
          </w:tcPr>
          <w:p w:rsidR="00D85114" w:rsidRPr="00397219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114" w:rsidRPr="00397219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114" w:rsidRPr="00397219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114" w:rsidRPr="00397219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114" w:rsidRPr="00397219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14" w:rsidRPr="00397219" w:rsidTr="00F64270">
        <w:trPr>
          <w:gridAfter w:val="5"/>
          <w:wAfter w:w="13030" w:type="dxa"/>
          <w:trHeight w:val="1159"/>
        </w:trPr>
        <w:tc>
          <w:tcPr>
            <w:tcW w:w="56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07" w:type="dxa"/>
            <w:shd w:val="clear" w:color="auto" w:fill="auto"/>
          </w:tcPr>
          <w:p w:rsidR="00D85114" w:rsidRPr="0056156E" w:rsidRDefault="00D85114" w:rsidP="00F64270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sz w:val="20"/>
                <w:szCs w:val="20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56156E">
              <w:rPr>
                <w:rStyle w:val="95pt0pt"/>
                <w:rFonts w:eastAsia="Arial"/>
                <w:sz w:val="20"/>
                <w:szCs w:val="20"/>
                <w:lang w:bidi="en-US"/>
              </w:rPr>
              <w:t>(</w:t>
            </w:r>
            <w:hyperlink r:id="rId7" w:history="1">
              <w:r w:rsidRPr="0056156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val="en-US" w:bidi="en-US"/>
                </w:rPr>
                <w:t>www</w:t>
              </w:r>
              <w:r w:rsidRPr="0056156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56156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56156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56156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56156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56156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56156E">
              <w:rPr>
                <w:rStyle w:val="95pt0pt"/>
                <w:rFonts w:eastAsia="Arial"/>
                <w:sz w:val="20"/>
                <w:szCs w:val="20"/>
                <w:lang w:bidi="en-US"/>
              </w:rPr>
              <w:t xml:space="preserve">) </w:t>
            </w:r>
            <w:r w:rsidRPr="0056156E">
              <w:rPr>
                <w:rStyle w:val="95pt0pt"/>
                <w:rFonts w:eastAsia="Arial"/>
                <w:sz w:val="20"/>
                <w:szCs w:val="20"/>
              </w:rPr>
              <w:t xml:space="preserve">и на официальном сайте </w:t>
            </w:r>
            <w:proofErr w:type="spellStart"/>
            <w:r w:rsidRPr="0056156E">
              <w:rPr>
                <w:rStyle w:val="ArialNarrow9pt0pt"/>
                <w:rFonts w:ascii="Times New Roman" w:eastAsia="Calibri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56156E">
              <w:rPr>
                <w:rStyle w:val="ArialNarrow9pt0pt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городского округа</w:t>
            </w:r>
            <w:r w:rsidRPr="0056156E">
              <w:rPr>
                <w:rStyle w:val="95pt0pt"/>
                <w:rFonts w:eastAsia="Arial"/>
                <w:b/>
                <w:sz w:val="20"/>
                <w:szCs w:val="20"/>
              </w:rPr>
              <w:t xml:space="preserve"> </w:t>
            </w:r>
            <w:r w:rsidRPr="0056156E">
              <w:rPr>
                <w:rStyle w:val="95pt0pt"/>
                <w:rFonts w:eastAsia="Arial"/>
                <w:sz w:val="20"/>
                <w:szCs w:val="20"/>
              </w:rPr>
              <w:t>в сети «Интернет</w:t>
            </w:r>
            <w:r w:rsidRPr="0056156E">
              <w:rPr>
                <w:rStyle w:val="95pt0pt"/>
                <w:rFonts w:eastAsia="Arial"/>
                <w:b/>
                <w:sz w:val="20"/>
                <w:szCs w:val="20"/>
              </w:rPr>
              <w:t>»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85114" w:rsidRPr="0056156E" w:rsidRDefault="00D85114" w:rsidP="00F6427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sz w:val="20"/>
                <w:szCs w:val="20"/>
              </w:rPr>
              <w:t>Количество объявленных аукционов, ед.</w:t>
            </w:r>
          </w:p>
        </w:tc>
        <w:tc>
          <w:tcPr>
            <w:tcW w:w="889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14" w:rsidRPr="00397219" w:rsidTr="00DE4E53">
        <w:trPr>
          <w:gridAfter w:val="5"/>
          <w:wAfter w:w="13030" w:type="dxa"/>
          <w:trHeight w:val="898"/>
        </w:trPr>
        <w:tc>
          <w:tcPr>
            <w:tcW w:w="56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07" w:type="dxa"/>
            <w:shd w:val="clear" w:color="auto" w:fill="auto"/>
          </w:tcPr>
          <w:p w:rsidR="00D85114" w:rsidRPr="0056156E" w:rsidRDefault="00D85114" w:rsidP="00F6427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sz w:val="20"/>
                <w:szCs w:val="20"/>
              </w:rPr>
              <w:t>Снижение количества</w:t>
            </w: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муниципальных унитарных предприятий </w:t>
            </w:r>
            <w:proofErr w:type="spellStart"/>
            <w:r w:rsidRPr="0056156E">
              <w:rPr>
                <w:rStyle w:val="ArialNarrow9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Сосновоборского</w:t>
            </w:r>
            <w:proofErr w:type="spellEnd"/>
            <w:r w:rsidRPr="0056156E">
              <w:rPr>
                <w:rStyle w:val="ArialNarrow9pt0pt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893" w:type="dxa"/>
            <w:shd w:val="clear" w:color="auto" w:fill="auto"/>
          </w:tcPr>
          <w:p w:rsidR="00D85114" w:rsidRPr="0056156E" w:rsidRDefault="00D85114" w:rsidP="00F6427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sz w:val="20"/>
                <w:szCs w:val="20"/>
              </w:rPr>
              <w:t xml:space="preserve">Количество </w:t>
            </w:r>
            <w:proofErr w:type="gramStart"/>
            <w:r w:rsidRPr="0056156E">
              <w:rPr>
                <w:rStyle w:val="95pt0pt"/>
                <w:rFonts w:eastAsia="Arial"/>
                <w:sz w:val="20"/>
                <w:szCs w:val="20"/>
              </w:rPr>
              <w:t>действующих</w:t>
            </w:r>
            <w:proofErr w:type="gramEnd"/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>муниципальных унитарных предприятий, ед.</w:t>
            </w:r>
          </w:p>
        </w:tc>
        <w:tc>
          <w:tcPr>
            <w:tcW w:w="889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14" w:rsidRPr="00397219" w:rsidTr="00F64270">
        <w:trPr>
          <w:gridAfter w:val="5"/>
          <w:wAfter w:w="13030" w:type="dxa"/>
          <w:trHeight w:val="282"/>
        </w:trPr>
        <w:tc>
          <w:tcPr>
            <w:tcW w:w="56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07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3893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889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85114" w:rsidRPr="0056156E" w:rsidRDefault="00C81B96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Общества ликвидированы по инициативе налогового органа -3; ликвидация 1 юр</w:t>
            </w:r>
            <w:r w:rsidR="00632A43" w:rsidRPr="0056156E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</w:p>
        </w:tc>
        <w:tc>
          <w:tcPr>
            <w:tcW w:w="2696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14" w:rsidRPr="00397219" w:rsidTr="00DE4E53">
        <w:trPr>
          <w:gridAfter w:val="5"/>
          <w:wAfter w:w="13030" w:type="dxa"/>
          <w:trHeight w:val="1240"/>
        </w:trPr>
        <w:tc>
          <w:tcPr>
            <w:tcW w:w="56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07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3893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Style w:val="95pt0pt"/>
                <w:rFonts w:eastAsia="Arial"/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889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D85114" w:rsidRPr="0056156E" w:rsidRDefault="00D85114" w:rsidP="00F64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114" w:rsidRPr="00397219" w:rsidRDefault="00D85114" w:rsidP="00D8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14" w:rsidRPr="00397219" w:rsidRDefault="00D85114" w:rsidP="00D8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2FD" w:rsidRPr="00397219" w:rsidRDefault="006E52FD">
      <w:pPr>
        <w:tabs>
          <w:tab w:val="left" w:pos="17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sectPr w:rsidR="006E52FD" w:rsidRPr="00397219" w:rsidSect="00C041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854"/>
    <w:multiLevelType w:val="hybridMultilevel"/>
    <w:tmpl w:val="E06E8FFC"/>
    <w:lvl w:ilvl="0" w:tplc="3878D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B67"/>
    <w:rsid w:val="00025B42"/>
    <w:rsid w:val="00027278"/>
    <w:rsid w:val="00046226"/>
    <w:rsid w:val="000528BA"/>
    <w:rsid w:val="000609DE"/>
    <w:rsid w:val="00084C43"/>
    <w:rsid w:val="00093C88"/>
    <w:rsid w:val="000A7CAC"/>
    <w:rsid w:val="000B36AB"/>
    <w:rsid w:val="000B5007"/>
    <w:rsid w:val="000B7650"/>
    <w:rsid w:val="000C2FBC"/>
    <w:rsid w:val="000C5344"/>
    <w:rsid w:val="000D4002"/>
    <w:rsid w:val="000F4BA2"/>
    <w:rsid w:val="0013615E"/>
    <w:rsid w:val="00151F61"/>
    <w:rsid w:val="00155E63"/>
    <w:rsid w:val="00165A04"/>
    <w:rsid w:val="001807FB"/>
    <w:rsid w:val="00196362"/>
    <w:rsid w:val="001A29EF"/>
    <w:rsid w:val="001C4499"/>
    <w:rsid w:val="001D37A3"/>
    <w:rsid w:val="00271C39"/>
    <w:rsid w:val="002735B9"/>
    <w:rsid w:val="00281E79"/>
    <w:rsid w:val="00282289"/>
    <w:rsid w:val="002A0D55"/>
    <w:rsid w:val="002E6F48"/>
    <w:rsid w:val="002F573E"/>
    <w:rsid w:val="00304280"/>
    <w:rsid w:val="00314BF7"/>
    <w:rsid w:val="00315543"/>
    <w:rsid w:val="00315D34"/>
    <w:rsid w:val="00330425"/>
    <w:rsid w:val="00352523"/>
    <w:rsid w:val="0036018F"/>
    <w:rsid w:val="00394E90"/>
    <w:rsid w:val="00397219"/>
    <w:rsid w:val="003B049A"/>
    <w:rsid w:val="003B740A"/>
    <w:rsid w:val="003D631E"/>
    <w:rsid w:val="004011EA"/>
    <w:rsid w:val="0040190A"/>
    <w:rsid w:val="00415A42"/>
    <w:rsid w:val="00430E50"/>
    <w:rsid w:val="004434C6"/>
    <w:rsid w:val="00461B09"/>
    <w:rsid w:val="00472F2A"/>
    <w:rsid w:val="004840BA"/>
    <w:rsid w:val="004A47F7"/>
    <w:rsid w:val="004C327F"/>
    <w:rsid w:val="004C730C"/>
    <w:rsid w:val="004D76FE"/>
    <w:rsid w:val="004E2790"/>
    <w:rsid w:val="004E6340"/>
    <w:rsid w:val="004F6C96"/>
    <w:rsid w:val="005066FC"/>
    <w:rsid w:val="00512109"/>
    <w:rsid w:val="0051388D"/>
    <w:rsid w:val="00515923"/>
    <w:rsid w:val="00516DEF"/>
    <w:rsid w:val="005267C4"/>
    <w:rsid w:val="00536FA0"/>
    <w:rsid w:val="00541841"/>
    <w:rsid w:val="00541DBC"/>
    <w:rsid w:val="00545632"/>
    <w:rsid w:val="00553DD2"/>
    <w:rsid w:val="0055590A"/>
    <w:rsid w:val="0056156E"/>
    <w:rsid w:val="00566FC6"/>
    <w:rsid w:val="005B7906"/>
    <w:rsid w:val="005C4BC3"/>
    <w:rsid w:val="005C57A4"/>
    <w:rsid w:val="005E1DBB"/>
    <w:rsid w:val="0060483B"/>
    <w:rsid w:val="006175C3"/>
    <w:rsid w:val="00626A4E"/>
    <w:rsid w:val="006317E9"/>
    <w:rsid w:val="00632A43"/>
    <w:rsid w:val="00636A5B"/>
    <w:rsid w:val="00642EDA"/>
    <w:rsid w:val="00667846"/>
    <w:rsid w:val="00667CA6"/>
    <w:rsid w:val="006721EF"/>
    <w:rsid w:val="00685B67"/>
    <w:rsid w:val="006E290F"/>
    <w:rsid w:val="006E52FD"/>
    <w:rsid w:val="006F4228"/>
    <w:rsid w:val="00717C6B"/>
    <w:rsid w:val="00717EC9"/>
    <w:rsid w:val="0072337E"/>
    <w:rsid w:val="00770E83"/>
    <w:rsid w:val="00772697"/>
    <w:rsid w:val="00772D1B"/>
    <w:rsid w:val="00776881"/>
    <w:rsid w:val="00791014"/>
    <w:rsid w:val="007A2CB4"/>
    <w:rsid w:val="007B654E"/>
    <w:rsid w:val="007D270A"/>
    <w:rsid w:val="007D753D"/>
    <w:rsid w:val="007E2AE5"/>
    <w:rsid w:val="00813198"/>
    <w:rsid w:val="008171DE"/>
    <w:rsid w:val="00820B38"/>
    <w:rsid w:val="008242D9"/>
    <w:rsid w:val="0084231B"/>
    <w:rsid w:val="008622F5"/>
    <w:rsid w:val="00871BA8"/>
    <w:rsid w:val="008A2E42"/>
    <w:rsid w:val="008A2FC5"/>
    <w:rsid w:val="008C308A"/>
    <w:rsid w:val="008E6844"/>
    <w:rsid w:val="008F2A60"/>
    <w:rsid w:val="008F5389"/>
    <w:rsid w:val="00910119"/>
    <w:rsid w:val="009129CA"/>
    <w:rsid w:val="009201D9"/>
    <w:rsid w:val="00920DB3"/>
    <w:rsid w:val="00930453"/>
    <w:rsid w:val="00955D1B"/>
    <w:rsid w:val="00992B45"/>
    <w:rsid w:val="009B0B41"/>
    <w:rsid w:val="009C2ECF"/>
    <w:rsid w:val="009C3B90"/>
    <w:rsid w:val="009D1605"/>
    <w:rsid w:val="009E3160"/>
    <w:rsid w:val="009F5148"/>
    <w:rsid w:val="009F54B4"/>
    <w:rsid w:val="00A0244A"/>
    <w:rsid w:val="00A053D6"/>
    <w:rsid w:val="00A107B8"/>
    <w:rsid w:val="00A13666"/>
    <w:rsid w:val="00A61A0F"/>
    <w:rsid w:val="00A642E9"/>
    <w:rsid w:val="00A739EF"/>
    <w:rsid w:val="00A74903"/>
    <w:rsid w:val="00A75CF4"/>
    <w:rsid w:val="00A8121A"/>
    <w:rsid w:val="00A96E25"/>
    <w:rsid w:val="00AC5C41"/>
    <w:rsid w:val="00AD077F"/>
    <w:rsid w:val="00AD2802"/>
    <w:rsid w:val="00AD4282"/>
    <w:rsid w:val="00AE06B4"/>
    <w:rsid w:val="00AE13BE"/>
    <w:rsid w:val="00B0686C"/>
    <w:rsid w:val="00B41699"/>
    <w:rsid w:val="00B42ACA"/>
    <w:rsid w:val="00B6372E"/>
    <w:rsid w:val="00B95149"/>
    <w:rsid w:val="00BB240B"/>
    <w:rsid w:val="00BF0BB7"/>
    <w:rsid w:val="00C041FA"/>
    <w:rsid w:val="00C05337"/>
    <w:rsid w:val="00C061C2"/>
    <w:rsid w:val="00C07FCB"/>
    <w:rsid w:val="00C10159"/>
    <w:rsid w:val="00C238E8"/>
    <w:rsid w:val="00C572EB"/>
    <w:rsid w:val="00C62FEC"/>
    <w:rsid w:val="00C81133"/>
    <w:rsid w:val="00C81B96"/>
    <w:rsid w:val="00C86F5E"/>
    <w:rsid w:val="00C918DE"/>
    <w:rsid w:val="00C94547"/>
    <w:rsid w:val="00C97A4C"/>
    <w:rsid w:val="00CC21D8"/>
    <w:rsid w:val="00CC7F82"/>
    <w:rsid w:val="00CD2442"/>
    <w:rsid w:val="00CD3D31"/>
    <w:rsid w:val="00CD4694"/>
    <w:rsid w:val="00CE0148"/>
    <w:rsid w:val="00CE2CC6"/>
    <w:rsid w:val="00CE3754"/>
    <w:rsid w:val="00CF35C7"/>
    <w:rsid w:val="00CF6768"/>
    <w:rsid w:val="00D06807"/>
    <w:rsid w:val="00D562E1"/>
    <w:rsid w:val="00D6470E"/>
    <w:rsid w:val="00D6785A"/>
    <w:rsid w:val="00D7639C"/>
    <w:rsid w:val="00D85114"/>
    <w:rsid w:val="00D8544C"/>
    <w:rsid w:val="00D85A27"/>
    <w:rsid w:val="00D92BCB"/>
    <w:rsid w:val="00D93F64"/>
    <w:rsid w:val="00DC32A4"/>
    <w:rsid w:val="00DD1F2C"/>
    <w:rsid w:val="00DD2F63"/>
    <w:rsid w:val="00DD7A9D"/>
    <w:rsid w:val="00DE4E53"/>
    <w:rsid w:val="00DE5A44"/>
    <w:rsid w:val="00E26CBA"/>
    <w:rsid w:val="00E27036"/>
    <w:rsid w:val="00E2733B"/>
    <w:rsid w:val="00E43DFF"/>
    <w:rsid w:val="00E87AE3"/>
    <w:rsid w:val="00EA71D3"/>
    <w:rsid w:val="00EB4F20"/>
    <w:rsid w:val="00EC07B1"/>
    <w:rsid w:val="00EF0BE1"/>
    <w:rsid w:val="00EF4FFD"/>
    <w:rsid w:val="00F024F2"/>
    <w:rsid w:val="00F02DB8"/>
    <w:rsid w:val="00F1597D"/>
    <w:rsid w:val="00F5110E"/>
    <w:rsid w:val="00F56A34"/>
    <w:rsid w:val="00F57F5A"/>
    <w:rsid w:val="00F60251"/>
    <w:rsid w:val="00F64270"/>
    <w:rsid w:val="00F70E68"/>
    <w:rsid w:val="00F7596B"/>
    <w:rsid w:val="00FD4D71"/>
    <w:rsid w:val="00FE3F13"/>
    <w:rsid w:val="00FF0033"/>
    <w:rsid w:val="00FF33E7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5B"/>
  </w:style>
  <w:style w:type="paragraph" w:styleId="2">
    <w:name w:val="heading 2"/>
    <w:basedOn w:val="a"/>
    <w:next w:val="a"/>
    <w:link w:val="20"/>
    <w:qFormat/>
    <w:rsid w:val="004A47F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0pt">
    <w:name w:val="Основной текст + 10 pt;Интервал 0 pt"/>
    <w:basedOn w:val="a0"/>
    <w:rsid w:val="00824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8242D9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8242D9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242D9"/>
    <w:pPr>
      <w:widowControl w:val="0"/>
      <w:shd w:val="clear" w:color="auto" w:fill="FFFFFF"/>
      <w:spacing w:after="300" w:line="322" w:lineRule="exact"/>
      <w:ind w:hanging="560"/>
    </w:pPr>
    <w:rPr>
      <w:b/>
      <w:bCs/>
      <w:spacing w:val="5"/>
      <w:sz w:val="23"/>
      <w:szCs w:val="23"/>
    </w:rPr>
  </w:style>
  <w:style w:type="character" w:customStyle="1" w:styleId="10pt">
    <w:name w:val="Основной текст + 10 pt"/>
    <w:aliases w:val="Интервал 0 pt,Основной текст + Arial Narrow,9 pt"/>
    <w:basedOn w:val="a0"/>
    <w:rsid w:val="008242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unhideWhenUsed/>
    <w:rsid w:val="008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242D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20B38"/>
    <w:rPr>
      <w:color w:val="0000FF"/>
      <w:u w:val="single"/>
    </w:rPr>
  </w:style>
  <w:style w:type="character" w:customStyle="1" w:styleId="ArialNarrow9pt0pt">
    <w:name w:val="Основной текст + Arial Narrow;9 pt;Интервал 0 pt"/>
    <w:basedOn w:val="a3"/>
    <w:rsid w:val="00820B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3"/>
    <w:rsid w:val="00820B38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pt0">
    <w:name w:val="Основной текст + 9;5 pt;Интервал 0 pt"/>
    <w:basedOn w:val="a3"/>
    <w:rsid w:val="00820B38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820B38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15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F5389"/>
    <w:pPr>
      <w:ind w:left="720"/>
      <w:contextualSpacing/>
    </w:pPr>
  </w:style>
  <w:style w:type="paragraph" w:customStyle="1" w:styleId="Default">
    <w:name w:val="Default"/>
    <w:rsid w:val="00516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A47F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4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rsid w:val="004A47F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A47F7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A47F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A47F7"/>
    <w:rPr>
      <w:rFonts w:ascii="Times New Roman" w:eastAsia="Calibri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A96E2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A96E25"/>
  </w:style>
  <w:style w:type="table" w:styleId="ac">
    <w:name w:val="Table Grid"/>
    <w:basedOn w:val="a1"/>
    <w:uiPriority w:val="59"/>
    <w:rsid w:val="003B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3B049A"/>
  </w:style>
  <w:style w:type="character" w:customStyle="1" w:styleId="company-infotext">
    <w:name w:val="company-info__text"/>
    <w:basedOn w:val="a0"/>
    <w:rsid w:val="003B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B30E-C591-426F-BC73-97F16688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13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  </cp:lastModifiedBy>
  <cp:revision>190</cp:revision>
  <cp:lastPrinted>2022-01-28T08:17:00Z</cp:lastPrinted>
  <dcterms:created xsi:type="dcterms:W3CDTF">2019-10-11T08:00:00Z</dcterms:created>
  <dcterms:modified xsi:type="dcterms:W3CDTF">2022-02-08T07:47:00Z</dcterms:modified>
</cp:coreProperties>
</file>