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FE" w:rsidRDefault="003865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865FE" w:rsidRDefault="003865FE">
      <w:pPr>
        <w:pStyle w:val="ConsPlusTitle"/>
        <w:jc w:val="center"/>
      </w:pPr>
    </w:p>
    <w:p w:rsidR="003865FE" w:rsidRDefault="003865FE">
      <w:pPr>
        <w:pStyle w:val="ConsPlusTitle"/>
        <w:jc w:val="center"/>
      </w:pPr>
      <w:r>
        <w:t>ПОСТАНОВЛЕНИЕ</w:t>
      </w:r>
    </w:p>
    <w:p w:rsidR="003865FE" w:rsidRDefault="003865FE">
      <w:pPr>
        <w:pStyle w:val="ConsPlusTitle"/>
        <w:jc w:val="center"/>
      </w:pPr>
      <w:r>
        <w:t>от 19 октября 2020 г. N 1705</w:t>
      </w:r>
    </w:p>
    <w:p w:rsidR="003865FE" w:rsidRDefault="003865FE">
      <w:pPr>
        <w:pStyle w:val="ConsPlusTitle"/>
        <w:jc w:val="center"/>
      </w:pPr>
    </w:p>
    <w:p w:rsidR="003865FE" w:rsidRDefault="003865FE">
      <w:pPr>
        <w:pStyle w:val="ConsPlusTitle"/>
        <w:jc w:val="center"/>
      </w:pPr>
      <w:r>
        <w:t>ОБ УТВЕРЖДЕНИИ ПРАВИЛ</w:t>
      </w:r>
    </w:p>
    <w:p w:rsidR="003865FE" w:rsidRDefault="003865FE">
      <w:pPr>
        <w:pStyle w:val="ConsPlusTitle"/>
        <w:jc w:val="center"/>
      </w:pPr>
      <w:r>
        <w:t>СПИСАНИЯ ЗАДОЛЖЕННОСТИ СУБЪЕКТА РОССИЙСКОЙ ФЕДЕРАЦИИ</w:t>
      </w:r>
    </w:p>
    <w:p w:rsidR="003865FE" w:rsidRDefault="003865FE">
      <w:pPr>
        <w:pStyle w:val="ConsPlusTitle"/>
        <w:jc w:val="center"/>
      </w:pPr>
      <w:r>
        <w:t>ПЕРЕД РОССИЙСКОЙ ФЕДЕРАЦИЕЙ ПО БЮДЖЕТНЫМ КРЕДИТАМ И ПЕРЕЧНЯ</w:t>
      </w:r>
    </w:p>
    <w:p w:rsidR="003865FE" w:rsidRDefault="003865FE">
      <w:pPr>
        <w:pStyle w:val="ConsPlusTitle"/>
        <w:jc w:val="center"/>
      </w:pPr>
      <w:r>
        <w:t>ПОДЛЕЖАЩИХ ЗАЧИСЛЕНИЮ В ФЕДЕРАЛЬНЫЙ БЮДЖЕТ НАЛОГОВЫХ</w:t>
      </w:r>
    </w:p>
    <w:p w:rsidR="003865FE" w:rsidRDefault="003865FE">
      <w:pPr>
        <w:pStyle w:val="ConsPlusTitle"/>
        <w:jc w:val="center"/>
      </w:pPr>
      <w:r>
        <w:t>ДОХОДОВ ОТ РЕАЛИЗАЦИИ НОВЫХ ИНВЕСТИЦИОННЫХ ПРОЕКТОВ,</w:t>
      </w:r>
    </w:p>
    <w:p w:rsidR="003865FE" w:rsidRDefault="003865FE">
      <w:pPr>
        <w:pStyle w:val="ConsPlusTitle"/>
        <w:jc w:val="center"/>
      </w:pPr>
      <w:r>
        <w:t xml:space="preserve">В ОБЪЕМЕ ФАКТИЧЕСКОГО </w:t>
      </w:r>
      <w:proofErr w:type="gramStart"/>
      <w:r>
        <w:t>ПОСТУПЛЕНИЯ</w:t>
      </w:r>
      <w:proofErr w:type="gramEnd"/>
      <w:r>
        <w:t xml:space="preserve"> КОТОРЫХ ПРАВИТЕЛЬСТВО</w:t>
      </w:r>
    </w:p>
    <w:p w:rsidR="003865FE" w:rsidRDefault="003865FE">
      <w:pPr>
        <w:pStyle w:val="ConsPlusTitle"/>
        <w:jc w:val="center"/>
      </w:pPr>
      <w:r>
        <w:t>РОССИЙСКОЙ ФЕДЕРАЦИИ ВПРАВЕ СПИСАТЬ ЗАДОЛЖЕННОСТЬ</w:t>
      </w:r>
    </w:p>
    <w:p w:rsidR="003865FE" w:rsidRDefault="003865FE">
      <w:pPr>
        <w:pStyle w:val="ConsPlusTitle"/>
        <w:jc w:val="center"/>
      </w:pPr>
      <w:r>
        <w:t>СУБЪЕКТОВ РОССИЙСКОЙ ФЕДЕРАЦИИ ПО БЮДЖЕТНЫМ КРЕДИТАМ</w:t>
      </w:r>
    </w:p>
    <w:p w:rsidR="003865FE" w:rsidRDefault="003865FE">
      <w:pPr>
        <w:pStyle w:val="ConsPlusNormal"/>
        <w:jc w:val="both"/>
      </w:pPr>
    </w:p>
    <w:p w:rsidR="003865FE" w:rsidRDefault="003865F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16</w:t>
        </w:r>
      </w:hyperlink>
      <w:r>
        <w:t xml:space="preserve"> Федерального закона "О федеральном бюджете на 2020 год и на плановый период 2021 и 2022 годов" Правительство Российской Федерации постановляет: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>Утвердить прилагаемые:</w:t>
      </w:r>
    </w:p>
    <w:p w:rsidR="003865FE" w:rsidRDefault="003865FE">
      <w:pPr>
        <w:pStyle w:val="ConsPlusNormal"/>
        <w:spacing w:before="240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списания задолженности субъекта Российской Федерации перед Российской Федерацией по бюджетным кредитам;</w:t>
      </w:r>
    </w:p>
    <w:p w:rsidR="003865FE" w:rsidRDefault="003865FE">
      <w:pPr>
        <w:pStyle w:val="ConsPlusNormal"/>
        <w:spacing w:before="240"/>
        <w:ind w:firstLine="540"/>
        <w:jc w:val="both"/>
      </w:pPr>
      <w:hyperlink w:anchor="P59" w:history="1">
        <w:r>
          <w:rPr>
            <w:color w:val="0000FF"/>
          </w:rPr>
          <w:t>перечень</w:t>
        </w:r>
      </w:hyperlink>
      <w:r>
        <w:t xml:space="preserve"> подлежащих зачислению в федеральный бюджет налоговых доходов от реализации новых инвестиционных проектов, в объеме фактического поступления которых Правительство Российской Федерации вправе списать задолженность субъектов Российской Федерации по бюджетным кредитам.</w:t>
      </w:r>
    </w:p>
    <w:p w:rsidR="003865FE" w:rsidRDefault="003865FE">
      <w:pPr>
        <w:pStyle w:val="ConsPlusNormal"/>
        <w:jc w:val="both"/>
      </w:pPr>
    </w:p>
    <w:p w:rsidR="003865FE" w:rsidRDefault="003865FE">
      <w:pPr>
        <w:pStyle w:val="ConsPlusNormal"/>
        <w:jc w:val="right"/>
      </w:pPr>
      <w:r>
        <w:t>Председатель Правительства</w:t>
      </w:r>
    </w:p>
    <w:p w:rsidR="003865FE" w:rsidRDefault="003865FE">
      <w:pPr>
        <w:pStyle w:val="ConsPlusNormal"/>
        <w:jc w:val="right"/>
      </w:pPr>
      <w:r>
        <w:t>Российской Федерации</w:t>
      </w:r>
    </w:p>
    <w:p w:rsidR="003865FE" w:rsidRDefault="003865FE">
      <w:pPr>
        <w:pStyle w:val="ConsPlusNormal"/>
        <w:jc w:val="right"/>
      </w:pPr>
      <w:r>
        <w:t>М.МИШУСТИН</w:t>
      </w:r>
    </w:p>
    <w:p w:rsidR="003865FE" w:rsidRDefault="003865FE">
      <w:pPr>
        <w:pStyle w:val="ConsPlusNormal"/>
        <w:jc w:val="both"/>
      </w:pPr>
    </w:p>
    <w:p w:rsidR="003865FE" w:rsidRDefault="003865FE">
      <w:pPr>
        <w:pStyle w:val="ConsPlusNormal"/>
        <w:jc w:val="both"/>
      </w:pPr>
    </w:p>
    <w:p w:rsidR="003865FE" w:rsidRDefault="003865FE">
      <w:pPr>
        <w:pStyle w:val="ConsPlusNormal"/>
        <w:jc w:val="both"/>
      </w:pPr>
    </w:p>
    <w:p w:rsidR="003865FE" w:rsidRDefault="003865FE">
      <w:pPr>
        <w:pStyle w:val="ConsPlusNormal"/>
        <w:jc w:val="both"/>
      </w:pPr>
    </w:p>
    <w:p w:rsidR="003865FE" w:rsidRDefault="003865FE">
      <w:pPr>
        <w:pStyle w:val="ConsPlusNormal"/>
        <w:jc w:val="both"/>
      </w:pPr>
    </w:p>
    <w:p w:rsidR="003865FE" w:rsidRDefault="003865FE">
      <w:pPr>
        <w:pStyle w:val="ConsPlusNormal"/>
        <w:jc w:val="right"/>
        <w:outlineLvl w:val="0"/>
      </w:pPr>
      <w:r>
        <w:t>Утверждены</w:t>
      </w:r>
    </w:p>
    <w:p w:rsidR="003865FE" w:rsidRDefault="003865FE">
      <w:pPr>
        <w:pStyle w:val="ConsPlusNormal"/>
        <w:jc w:val="right"/>
      </w:pPr>
      <w:r>
        <w:t>постановлением Правительства</w:t>
      </w:r>
    </w:p>
    <w:p w:rsidR="003865FE" w:rsidRDefault="003865FE">
      <w:pPr>
        <w:pStyle w:val="ConsPlusNormal"/>
        <w:jc w:val="right"/>
      </w:pPr>
      <w:r>
        <w:t>Российской Федерации</w:t>
      </w:r>
    </w:p>
    <w:p w:rsidR="003865FE" w:rsidRDefault="003865FE">
      <w:pPr>
        <w:pStyle w:val="ConsPlusNormal"/>
        <w:jc w:val="right"/>
      </w:pPr>
      <w:r>
        <w:t>от 19 октября 2020 г. N 1705</w:t>
      </w:r>
    </w:p>
    <w:p w:rsidR="003865FE" w:rsidRDefault="003865FE">
      <w:pPr>
        <w:pStyle w:val="ConsPlusNormal"/>
        <w:jc w:val="both"/>
      </w:pPr>
    </w:p>
    <w:p w:rsidR="003865FE" w:rsidRDefault="003865FE">
      <w:pPr>
        <w:pStyle w:val="ConsPlusTitle"/>
        <w:jc w:val="center"/>
      </w:pPr>
      <w:bookmarkStart w:id="0" w:name="P33"/>
      <w:bookmarkEnd w:id="0"/>
      <w:r>
        <w:t>ПРАВИЛА</w:t>
      </w:r>
    </w:p>
    <w:p w:rsidR="003865FE" w:rsidRDefault="003865FE">
      <w:pPr>
        <w:pStyle w:val="ConsPlusTitle"/>
        <w:jc w:val="center"/>
      </w:pPr>
      <w:r>
        <w:t>СПИСАНИЯ ЗАДОЛЖЕННОСТИ СУБЪЕКТА РОССИЙСКОЙ ФЕДЕРАЦИИ</w:t>
      </w:r>
    </w:p>
    <w:p w:rsidR="003865FE" w:rsidRDefault="003865FE">
      <w:pPr>
        <w:pStyle w:val="ConsPlusTitle"/>
        <w:jc w:val="center"/>
      </w:pPr>
      <w:r>
        <w:t>ПЕРЕД РОССИЙСКОЙ ФЕДЕРАЦИЕЙ ПО БЮДЖЕТНЫМ КРЕДИТАМ</w:t>
      </w:r>
    </w:p>
    <w:p w:rsidR="003865FE" w:rsidRDefault="003865FE">
      <w:pPr>
        <w:pStyle w:val="ConsPlusNormal"/>
        <w:jc w:val="both"/>
      </w:pPr>
    </w:p>
    <w:p w:rsidR="003865FE" w:rsidRDefault="003865FE">
      <w:pPr>
        <w:pStyle w:val="ConsPlusNormal"/>
        <w:ind w:firstLine="540"/>
        <w:jc w:val="both"/>
      </w:pPr>
      <w:r>
        <w:t>1. Настоящие Правила определяют порядок списания задолженности субъекта Российской Федерации перед Российской Федерацией по бюджетным кредитам.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Списанию подлежит задолженность субъекта Российской Федерации перед Российской Федерацией по бюджетным кредитам, указанным в </w:t>
      </w:r>
      <w:hyperlink r:id="rId5" w:history="1">
        <w:r>
          <w:rPr>
            <w:color w:val="0000FF"/>
          </w:rPr>
          <w:t>части 4 статьи 16</w:t>
        </w:r>
      </w:hyperlink>
      <w:r>
        <w:t xml:space="preserve"> Федерального закона "О федеральном бюджете на 2020 год и на плановый период 2021 и 2022 годов" (далее - Федеральный закон), в объеме фактического поступления налоговых доходов в федеральный бюджет от реализации новых инвестиционных проектов, определяемых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</w:t>
      </w:r>
      <w:proofErr w:type="gramEnd"/>
      <w:r>
        <w:t xml:space="preserve"> 19 октября 2020 г. N 1704 "Об </w:t>
      </w:r>
      <w:r>
        <w:lastRenderedPageBreak/>
        <w:t xml:space="preserve">утверждении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инфраструктуры" (далее - новые инвестиционные проекты), в объекты инфраструктуры которых направляются бюджетные инвестиции в размере средств, предусмотренных </w:t>
      </w:r>
      <w:hyperlink r:id="rId7" w:history="1">
        <w:r>
          <w:rPr>
            <w:color w:val="0000FF"/>
          </w:rPr>
          <w:t>частью 6 статьи 16</w:t>
        </w:r>
      </w:hyperlink>
      <w:r>
        <w:t xml:space="preserve"> Федерального закона.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>Задолженность субъекта Российской Федерации в объеме фактического поступления в федеральный бюджет налоговых доходов от реализации новых инвестиционных проектов подлежит списанию при условии, что новый инвестиционный проект реализуется созданным для этих целей отдельным юридическим лицом.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Федеральная налоговая служба ежегодно, до 1 июля года, следующего за отчетным, представляет в Министерство финансов Российской Федерации данные об общем объеме фактически поступивших налоговых доходов от реализации новых инвестиционных проектов по видам доходов, предусмотренных </w:t>
      </w:r>
      <w:hyperlink w:anchor="P59" w:history="1">
        <w:r>
          <w:rPr>
            <w:color w:val="0000FF"/>
          </w:rPr>
          <w:t>перечнем</w:t>
        </w:r>
      </w:hyperlink>
      <w:r>
        <w:t>, утвержденным постановлением Правительства Российской Федерации от 19 октября 2020 г. N 1705 "Об утверждении Правил списания задолженности субъекта Российской Федерации перед Российской Федерацией по бюджетным</w:t>
      </w:r>
      <w:proofErr w:type="gramEnd"/>
      <w:r>
        <w:t xml:space="preserve"> кредитам и перечня подлежащих зачислению в федеральный бюджет налоговых доходов от реализации новых инвестиционных проектов, в объеме фактического поступления которых Правительство Российской Федерации вправе списать задолженность субъектов Российской Федерации по бюджетным кредитам", по субъектам Российской Федерации.</w:t>
      </w:r>
    </w:p>
    <w:p w:rsidR="003865FE" w:rsidRDefault="003865FE">
      <w:pPr>
        <w:pStyle w:val="ConsPlusNormal"/>
        <w:spacing w:before="240"/>
        <w:ind w:firstLine="540"/>
        <w:jc w:val="both"/>
      </w:pPr>
      <w:bookmarkStart w:id="1" w:name="P41"/>
      <w:bookmarkEnd w:id="1"/>
      <w:r>
        <w:t xml:space="preserve">4. </w:t>
      </w:r>
      <w:proofErr w:type="gramStart"/>
      <w:r>
        <w:t xml:space="preserve"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вправе в срок до 1 августа года, следующего за отчетным, направить в Министерство финансов Российской Федерации обращение с просьбой о списании задолженности субъекта Российской Федерации перед Российской Федерацией по бюджетным кредитам в соответствии с </w:t>
      </w:r>
      <w:hyperlink r:id="rId8" w:history="1">
        <w:r>
          <w:rPr>
            <w:color w:val="0000FF"/>
          </w:rPr>
          <w:t>частью 8 статьи 16</w:t>
        </w:r>
      </w:hyperlink>
      <w:r>
        <w:t xml:space="preserve"> Федерального закона.</w:t>
      </w:r>
      <w:proofErr w:type="gramEnd"/>
    </w:p>
    <w:p w:rsidR="003865FE" w:rsidRDefault="003865FE">
      <w:pPr>
        <w:pStyle w:val="ConsPlusNormal"/>
        <w:spacing w:before="240"/>
        <w:ind w:firstLine="540"/>
        <w:jc w:val="both"/>
      </w:pPr>
      <w:r>
        <w:t>Указанное обращение направляется по итогам отчетного года, в котором впервые произошло поступление в федеральный бюджет налоговых доходов от реализации новых инвестиционных проектов (впоследствии - ежегодно).</w:t>
      </w:r>
    </w:p>
    <w:p w:rsidR="003865FE" w:rsidRDefault="003865FE">
      <w:pPr>
        <w:pStyle w:val="ConsPlusNormal"/>
        <w:spacing w:before="240"/>
        <w:ind w:firstLine="540"/>
        <w:jc w:val="both"/>
      </w:pPr>
      <w:bookmarkStart w:id="2" w:name="P43"/>
      <w:bookmarkEnd w:id="2"/>
      <w:r>
        <w:t xml:space="preserve">5. </w:t>
      </w:r>
      <w:proofErr w:type="gramStart"/>
      <w:r>
        <w:t xml:space="preserve">Министерство финансов Российской Федерации совместно с Федеральной налоговой службой в срок до 1 октября года, следующего за отчетным, на основании обращений субъектов Российской Федерации, предусмотренных </w:t>
      </w:r>
      <w:hyperlink w:anchor="P41" w:history="1">
        <w:r>
          <w:rPr>
            <w:color w:val="0000FF"/>
          </w:rPr>
          <w:t>пунктом 4</w:t>
        </w:r>
      </w:hyperlink>
      <w:r>
        <w:t xml:space="preserve"> настоящих Правил, направляет в Правительство Российской Федерации заключение о возможности списания задолженности субъектов Российской Федерации перед Российской Федерацией по бюджетным кредитам.</w:t>
      </w:r>
      <w:proofErr w:type="gramEnd"/>
    </w:p>
    <w:p w:rsidR="003865FE" w:rsidRDefault="003865FE">
      <w:pPr>
        <w:pStyle w:val="ConsPlusNormal"/>
        <w:spacing w:before="240"/>
        <w:ind w:firstLine="540"/>
        <w:jc w:val="both"/>
      </w:pPr>
      <w:bookmarkStart w:id="3" w:name="P44"/>
      <w:bookmarkEnd w:id="3"/>
      <w:r>
        <w:t xml:space="preserve">6. В течение 20 рабочих дней со дня вступления в силу решения Правительства Российской Федерации, принятого по итогам рассмотрения заключения, предусмотренного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Правил, Министерство финансов Российской Федерации осуществляет подготовку приказа о списании задолженности субъекта Российской Федерации по бюджетному кредиту, предоставленному бюджету субъекта Российской Федерации за счет средств федерального бюджета.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 xml:space="preserve">7. Копия приказа, указанного в </w:t>
      </w:r>
      <w:hyperlink w:anchor="P44" w:history="1">
        <w:r>
          <w:rPr>
            <w:color w:val="0000FF"/>
          </w:rPr>
          <w:t>пункте 6</w:t>
        </w:r>
      </w:hyperlink>
      <w:r>
        <w:t xml:space="preserve"> настоящих Правил, в течение 5 рабочих дней после дня его подписания направляется Министерством финансов Российской Федерации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3865FE" w:rsidRDefault="003865FE">
      <w:pPr>
        <w:pStyle w:val="ConsPlusNormal"/>
        <w:spacing w:before="240"/>
        <w:ind w:firstLine="540"/>
        <w:jc w:val="both"/>
      </w:pPr>
      <w:bookmarkStart w:id="4" w:name="P46"/>
      <w:bookmarkEnd w:id="4"/>
      <w:r>
        <w:lastRenderedPageBreak/>
        <w:t xml:space="preserve">8. </w:t>
      </w:r>
      <w:proofErr w:type="gramStart"/>
      <w:r>
        <w:t xml:space="preserve"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10 рабочих дней со дня получения копии указанного в </w:t>
      </w:r>
      <w:hyperlink w:anchor="P44" w:history="1">
        <w:r>
          <w:rPr>
            <w:color w:val="0000FF"/>
          </w:rPr>
          <w:t>пункте 6</w:t>
        </w:r>
      </w:hyperlink>
      <w:r>
        <w:t xml:space="preserve"> настоящих Правил приказа представляет в Министерство финансов Российской Федерации подписанное уполномоченным органом исполнительной власти субъекта Российской Федерации дополнительное соглашение к соглашению о предоставлении бюджету субъекта Российской Федерации из федерального бюджета бюджетного кредита</w:t>
      </w:r>
      <w:proofErr w:type="gramEnd"/>
      <w:r>
        <w:t>, предусматривающее изменение графика погашения задолженности по бюджетному кредиту в соответствии с приказом, в 2 экземплярах по форме, определяемой Министерством финансов Российской Федерации.</w:t>
      </w:r>
    </w:p>
    <w:p w:rsidR="003865FE" w:rsidRDefault="003865FE">
      <w:pPr>
        <w:pStyle w:val="ConsPlusNormal"/>
        <w:spacing w:before="240"/>
        <w:ind w:firstLine="540"/>
        <w:jc w:val="both"/>
      </w:pPr>
      <w:bookmarkStart w:id="5" w:name="P47"/>
      <w:bookmarkEnd w:id="5"/>
      <w:r>
        <w:t xml:space="preserve">9. По результатам рассмотрения дополнительного соглашения, указанного в </w:t>
      </w:r>
      <w:hyperlink w:anchor="P46" w:history="1">
        <w:r>
          <w:rPr>
            <w:color w:val="0000FF"/>
          </w:rPr>
          <w:t>пункте 8</w:t>
        </w:r>
      </w:hyperlink>
      <w:r>
        <w:t xml:space="preserve"> настоящих Правил, Министерство финансов Российской Федерации в течение 10 рабочих дней со дня его получения подписывает это дополнительное соглашение либо направляет по нему замечания.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 xml:space="preserve"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10 рабочих дней со дня получения замечаний Министерства финансов Российской Федерации по дополнительному соглашению, указанному в </w:t>
      </w:r>
      <w:hyperlink w:anchor="P46" w:history="1">
        <w:r>
          <w:rPr>
            <w:color w:val="0000FF"/>
          </w:rPr>
          <w:t>пункте 8</w:t>
        </w:r>
      </w:hyperlink>
      <w:r>
        <w:t xml:space="preserve"> настоящих Правил, устраняет их и представляет доработанное дополнительное соглашение в Министерство финансов Российской Федерации для повторного рассмотрения в соответствии с </w:t>
      </w:r>
      <w:hyperlink w:anchor="P47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  <w:proofErr w:type="gramEnd"/>
    </w:p>
    <w:p w:rsidR="003865FE" w:rsidRDefault="003865FE">
      <w:pPr>
        <w:pStyle w:val="ConsPlusNormal"/>
        <w:jc w:val="both"/>
      </w:pPr>
    </w:p>
    <w:p w:rsidR="003865FE" w:rsidRDefault="003865FE">
      <w:pPr>
        <w:pStyle w:val="ConsPlusNormal"/>
        <w:jc w:val="both"/>
      </w:pPr>
    </w:p>
    <w:p w:rsidR="003865FE" w:rsidRDefault="003865FE">
      <w:pPr>
        <w:pStyle w:val="ConsPlusNormal"/>
        <w:jc w:val="both"/>
      </w:pPr>
    </w:p>
    <w:p w:rsidR="003865FE" w:rsidRDefault="003865FE">
      <w:pPr>
        <w:pStyle w:val="ConsPlusNormal"/>
        <w:jc w:val="both"/>
      </w:pPr>
    </w:p>
    <w:p w:rsidR="003865FE" w:rsidRDefault="003865FE">
      <w:pPr>
        <w:pStyle w:val="ConsPlusNormal"/>
        <w:jc w:val="both"/>
      </w:pPr>
    </w:p>
    <w:p w:rsidR="003865FE" w:rsidRDefault="003865FE">
      <w:pPr>
        <w:pStyle w:val="ConsPlusNormal"/>
        <w:jc w:val="right"/>
        <w:outlineLvl w:val="0"/>
      </w:pPr>
      <w:r>
        <w:t>Утвержден</w:t>
      </w:r>
    </w:p>
    <w:p w:rsidR="003865FE" w:rsidRDefault="003865FE">
      <w:pPr>
        <w:pStyle w:val="ConsPlusNormal"/>
        <w:jc w:val="right"/>
      </w:pPr>
      <w:r>
        <w:t>постановлением Правительства</w:t>
      </w:r>
    </w:p>
    <w:p w:rsidR="003865FE" w:rsidRDefault="003865FE">
      <w:pPr>
        <w:pStyle w:val="ConsPlusNormal"/>
        <w:jc w:val="right"/>
      </w:pPr>
      <w:r>
        <w:t>Российской Федерации</w:t>
      </w:r>
    </w:p>
    <w:p w:rsidR="003865FE" w:rsidRDefault="003865FE">
      <w:pPr>
        <w:pStyle w:val="ConsPlusNormal"/>
        <w:jc w:val="right"/>
      </w:pPr>
      <w:r>
        <w:t>от 19 октября 2020 г. N 1705</w:t>
      </w:r>
    </w:p>
    <w:p w:rsidR="003865FE" w:rsidRDefault="003865FE">
      <w:pPr>
        <w:pStyle w:val="ConsPlusNormal"/>
        <w:jc w:val="both"/>
      </w:pPr>
    </w:p>
    <w:p w:rsidR="003865FE" w:rsidRDefault="003865FE">
      <w:pPr>
        <w:pStyle w:val="ConsPlusTitle"/>
        <w:jc w:val="center"/>
      </w:pPr>
      <w:bookmarkStart w:id="6" w:name="P59"/>
      <w:bookmarkEnd w:id="6"/>
      <w:r>
        <w:t>ПЕРЕЧЕНЬ</w:t>
      </w:r>
    </w:p>
    <w:p w:rsidR="003865FE" w:rsidRDefault="003865FE">
      <w:pPr>
        <w:pStyle w:val="ConsPlusTitle"/>
        <w:jc w:val="center"/>
      </w:pPr>
      <w:r>
        <w:t>ПОДЛЕЖАЩИХ ЗАЧИСЛЕНИЮ В ФЕДЕРАЛЬНЫЙ БЮДЖЕТ НАЛОГОВЫХ</w:t>
      </w:r>
    </w:p>
    <w:p w:rsidR="003865FE" w:rsidRDefault="003865FE">
      <w:pPr>
        <w:pStyle w:val="ConsPlusTitle"/>
        <w:jc w:val="center"/>
      </w:pPr>
      <w:r>
        <w:t>ДОХОДОВ ОТ РЕАЛИЗАЦИИ НОВЫХ ИНВЕСТИЦИОННЫХ ПРОЕКТОВ,</w:t>
      </w:r>
    </w:p>
    <w:p w:rsidR="003865FE" w:rsidRDefault="003865FE">
      <w:pPr>
        <w:pStyle w:val="ConsPlusTitle"/>
        <w:jc w:val="center"/>
      </w:pPr>
      <w:r>
        <w:t xml:space="preserve">В ОБЪЕМЕ ФАКТИЧЕСКОГО </w:t>
      </w:r>
      <w:proofErr w:type="gramStart"/>
      <w:r>
        <w:t>ПОСТУПЛЕНИЯ</w:t>
      </w:r>
      <w:proofErr w:type="gramEnd"/>
      <w:r>
        <w:t xml:space="preserve"> КОТОРЫХ ПРАВИТЕЛЬСТВО</w:t>
      </w:r>
    </w:p>
    <w:p w:rsidR="003865FE" w:rsidRDefault="003865FE">
      <w:pPr>
        <w:pStyle w:val="ConsPlusTitle"/>
        <w:jc w:val="center"/>
      </w:pPr>
      <w:r>
        <w:t>РОССИЙСКОЙ ФЕДЕРАЦИИ ВПРАВЕ СПИСАТЬ ЗАДОЛЖЕННОСТЬ СУБЪЕКТОВ</w:t>
      </w:r>
    </w:p>
    <w:p w:rsidR="003865FE" w:rsidRDefault="003865FE">
      <w:pPr>
        <w:pStyle w:val="ConsPlusTitle"/>
        <w:jc w:val="center"/>
      </w:pPr>
      <w:r>
        <w:t>РОССИЙСКОЙ ФЕДЕРАЦИИ ПО БЮДЖЕТНЫМ КРЕДИТАМ</w:t>
      </w:r>
    </w:p>
    <w:p w:rsidR="003865FE" w:rsidRDefault="003865FE">
      <w:pPr>
        <w:pStyle w:val="ConsPlusNormal"/>
        <w:jc w:val="both"/>
      </w:pPr>
    </w:p>
    <w:p w:rsidR="003865FE" w:rsidRDefault="003865FE">
      <w:pPr>
        <w:pStyle w:val="ConsPlusNormal"/>
        <w:ind w:firstLine="540"/>
        <w:jc w:val="both"/>
      </w:pPr>
      <w:r>
        <w:t>Налоговыми доходами, учитываемыми при списании задолженности субъекта Российской Федерации перед Российской Федерацией по бюджетным кредитам, являются фактические поступления от следующих федеральных налогов и сборов, налогов, предусмотренных специальными налоговыми режимами: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>налог на прибыль организаций по ставке, установленной для зачисления указанного налога в федеральный бюджет;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>налог на прибыль организаций (в части доходов иностранных организаций, не связанных с деятельностью в Российской Федерации через постоянное представительство, а также в части доходов, полученных в виде дивидендов и процентов по государственным и муниципальным ценным бумагам);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 xml:space="preserve">налог на прибыль организаций при выполнении соглашений о разделе продукции, заключенных до вступления в силу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</w:t>
      </w:r>
      <w:proofErr w:type="gramStart"/>
      <w:r>
        <w:t>соглашениях</w:t>
      </w:r>
      <w:proofErr w:type="gramEnd"/>
      <w:r>
        <w:t xml:space="preserve"> о разделе продукции" и не предусматривающих специальных налоговых ставок для зачисления </w:t>
      </w:r>
      <w:r>
        <w:lastRenderedPageBreak/>
        <w:t>указанного налога в федеральный бюджет и бюджеты субъектов Российской Федерации;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>налог на добавленную стоимость;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>налог на добычу полезных ископаемых в виде углеводородного сырья (за исключением газа горючего природного);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>налог на добычу полезных ископаемых (за исключением полезных ископаемых в виде углеводородного сырья, природных алмазов и общераспространенных полезных ископаемых);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>налог на добычу полезных ископаемых на континентальном шельфе Российской Федерации, в исключительной экономической зоне Российской Федерации, за пределами территории Российской Федерации;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>регулярные платежи за добычу полезных ископаемых (роялти) при выполнении соглашений о разделе продукции в виде углеводородного сырья (газ горючий природный);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>регулярные платежи за добычу полезных ископаемых (роялти) при выполнении соглашений о разделе продукции в виде углеводородного сырья (за исключением газа горючего природного);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>регулярные платежи за добычу полезных ископаемых (роялти) на континентальном шельфе, в исключительной экономической зоне Российской Федерации, за пределами территории Российской Федерации при выполнении соглашений о разделе продукции;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>сбор за пользование объектами водных биологических ресурсов (исключая внутренние водные объекты);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>сбор за пользование объектами водных биологических ресурсов (по внутренним водным объектам);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>водный налог;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 xml:space="preserve">государственная пошлина (за исключением государственной пошлины за совершение юридически значимых действий, указанных в </w:t>
      </w:r>
      <w:hyperlink r:id="rId10" w:history="1">
        <w:r>
          <w:rPr>
            <w:color w:val="0000FF"/>
          </w:rPr>
          <w:t>статьях 56</w:t>
        </w:r>
      </w:hyperlink>
      <w:r>
        <w:t xml:space="preserve">, </w:t>
      </w:r>
      <w:hyperlink r:id="rId11" w:history="1">
        <w:r>
          <w:rPr>
            <w:color w:val="0000FF"/>
          </w:rPr>
          <w:t>61</w:t>
        </w:r>
      </w:hyperlink>
      <w:r>
        <w:t xml:space="preserve"> - </w:t>
      </w:r>
      <w:hyperlink r:id="rId12" w:history="1">
        <w:r>
          <w:rPr>
            <w:color w:val="0000FF"/>
          </w:rPr>
          <w:t>61.5</w:t>
        </w:r>
      </w:hyperlink>
      <w:r>
        <w:t xml:space="preserve"> Бюджетного кодекса Российской Федерации, государственной пошлины, предусмотренной </w:t>
      </w:r>
      <w:hyperlink r:id="rId13" w:history="1">
        <w:r>
          <w:rPr>
            <w:color w:val="0000FF"/>
          </w:rPr>
          <w:t>абзацами тридцатым</w:t>
        </w:r>
      </w:hyperlink>
      <w:r>
        <w:t xml:space="preserve"> и </w:t>
      </w:r>
      <w:hyperlink r:id="rId14" w:history="1">
        <w:r>
          <w:rPr>
            <w:color w:val="0000FF"/>
          </w:rPr>
          <w:t>тридцать первым статьи 50</w:t>
        </w:r>
      </w:hyperlink>
      <w:r>
        <w:t xml:space="preserve"> Бюджетного кодекса Российской Федерации);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>государственная пошлина за совершение 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многофункциональный центр предоставления государственных и муниципальных услуг;</w:t>
      </w:r>
    </w:p>
    <w:p w:rsidR="003865FE" w:rsidRDefault="003865FE">
      <w:pPr>
        <w:pStyle w:val="ConsPlusNormal"/>
        <w:spacing w:before="240"/>
        <w:ind w:firstLine="540"/>
        <w:jc w:val="both"/>
      </w:pPr>
      <w:r>
        <w:t>государственная пошлина за совершение 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электронной форме и выдачи документов через многофункциональный центр предоставления государственных и муниципальных услуг.</w:t>
      </w:r>
    </w:p>
    <w:p w:rsidR="00F24E46" w:rsidRDefault="00F24E46"/>
    <w:sectPr w:rsidR="00F24E46" w:rsidSect="001950F3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865FE"/>
    <w:rsid w:val="000B107B"/>
    <w:rsid w:val="002C49F9"/>
    <w:rsid w:val="003865FE"/>
    <w:rsid w:val="003D45B2"/>
    <w:rsid w:val="005A6F11"/>
    <w:rsid w:val="00602C20"/>
    <w:rsid w:val="00647C3C"/>
    <w:rsid w:val="007828E2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5FE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865FE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865F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8297145DF7320279020055C1D252033FA2DAD4848987DAC9B9F82B484B77F04531088B307E382DFC3E12FDEAAF08062DAB9D6F4E10739134WEG" TargetMode="External"/><Relationship Id="rId13" Type="http://schemas.openxmlformats.org/officeDocument/2006/relationships/hyperlink" Target="consultantplus://offline/ref=C38297145DF7320279020055C1D252033FA3D7DD828A87DAC9B9F82B484B77F045310889387F3922AE6402F9A3FA07182FB7836F501037W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8297145DF7320279020055C1D252033FA2DAD4848987DAC9B9F82B484B77F04531088B307E382DFE3E12FDEAAF08062DAB9D6F4E10739134WEG" TargetMode="External"/><Relationship Id="rId12" Type="http://schemas.openxmlformats.org/officeDocument/2006/relationships/hyperlink" Target="consultantplus://offline/ref=C38297145DF7320279020055C1D252033FA3D7DD828A87DAC9B9F82B484B77F04531088E30763E22AE6402F9A3FA07182FB7836F501037W2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8297145DF7320279020055C1D252033FA0D4D4808487DAC9B9F82B484B77F057315087307C2429F82B44ACAC3FWBG" TargetMode="External"/><Relationship Id="rId11" Type="http://schemas.openxmlformats.org/officeDocument/2006/relationships/hyperlink" Target="consultantplus://offline/ref=C38297145DF7320279020055C1D252033FA3D7DD828A87DAC9B9F82B484B77F04531088E307B3822AE6402F9A3FA07182FB7836F501037W2G" TargetMode="External"/><Relationship Id="rId5" Type="http://schemas.openxmlformats.org/officeDocument/2006/relationships/hyperlink" Target="consultantplus://offline/ref=C38297145DF7320279020055C1D252033FA2DAD4848987DAC9B9F82B484B77F04531088B307E382DFA3E12FDEAAF08062DAB9D6F4E10739134WE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8297145DF7320279020055C1D252033FA3D7DD828A87DAC9B9F82B484B77F045310888317F317DAB7113A1AEF81B062DAB9F6D5231W3G" TargetMode="External"/><Relationship Id="rId4" Type="http://schemas.openxmlformats.org/officeDocument/2006/relationships/hyperlink" Target="consultantplus://offline/ref=C38297145DF7320279020055C1D252033FA2DAD4848987DAC9B9F82B484B77F04531088B307E382DFC3E12FDEAAF08062DAB9D6F4E10739134WEG" TargetMode="External"/><Relationship Id="rId9" Type="http://schemas.openxmlformats.org/officeDocument/2006/relationships/hyperlink" Target="consultantplus://offline/ref=C38297145DF7320279020055C1D252033FA1D2D6848F87DAC9B9F82B484B77F057315087307C2429F82B44ACAC3FWBG" TargetMode="External"/><Relationship Id="rId14" Type="http://schemas.openxmlformats.org/officeDocument/2006/relationships/hyperlink" Target="consultantplus://offline/ref=C38297145DF7320279020055C1D252033FA3D7DD828A87DAC9B9F82B484B77F04531088E367D3D22AE6402F9A3FA07182FB7836F501037W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1856</Words>
  <Characters>10583</Characters>
  <Application>Microsoft Office Word</Application>
  <DocSecurity>0</DocSecurity>
  <Lines>88</Lines>
  <Paragraphs>24</Paragraphs>
  <ScaleCrop>false</ScaleCrop>
  <Company>  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2021-02-02T06:22:00Z</dcterms:created>
  <dcterms:modified xsi:type="dcterms:W3CDTF">2021-02-02T06:24:00Z</dcterms:modified>
</cp:coreProperties>
</file>